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MASTER DOCUMENT SUITE · 2026</w:t>
            </w:r>
          </w:p>
          <w:p>
            <w:pPr>
              <w:spacing w:before="240"/>
            </w:pPr>
            <w:r>
              <w:rPr>
                <w:rFonts w:ascii="Playfair Display" w:cs="Playfair Display" w:eastAsia="Playfair Display" w:hAnsi="Playfair Display"/>
                <w:color w:val="F5F7FA"/>
                <w:sz w:val="96"/>
                <w:szCs w:val="96"/>
              </w:rPr>
              <w:t xml:space="preserve">The Oakwell</w:t>
            </w:r>
          </w:p>
          <w:p>
            <w:pPr>
              <w:spacing w:before="320"/>
            </w:pPr>
            <w:r>
              <w:rPr>
                <w:rFonts w:ascii="Playfair Display" w:cs="Playfair Display" w:eastAsia="Playfair Display" w:hAnsi="Playfair Display"/>
                <w:i/>
                <w:iCs/>
                <w:color w:val="8FA8C9"/>
                <w:sz w:val="40"/>
                <w:szCs w:val="40"/>
              </w:rPr>
              <w:t xml:space="preserve">Document Suite.</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PREPARED BY OAKWELL CONSULTING LTD   ·   EDITION 2026 Q1   ·   CONFIDENTIAL</w:t>
            </w:r>
          </w:p>
        </w:tc>
      </w:tr>
    </w:tbl>
    <w:p>
      <w:pPr>
        <w:spacing w:before="400"/>
      </w:pPr>
    </w:p>
    <w:p>
      <w:pPr>
        <w:spacing w:after="60" w:before="200"/>
      </w:pPr>
      <w:r>
        <w:rPr>
          <w:rFonts w:ascii="Inter" w:cs="Inter" w:eastAsia="Inter" w:hAnsi="Inter"/>
          <w:b/>
          <w:bCs/>
          <w:color w:val="0F3D63"/>
          <w:spacing w:val="40"/>
          <w:sz w:val="16"/>
          <w:szCs w:val="16"/>
        </w:rPr>
        <w:t xml:space="preserve">CONTENTS</w:t>
      </w:r>
    </w:p>
    <w:p>
      <w:pPr>
        <w:pBdr>
          <w:bottom w:val="single" w:color="E5E7EB" w:sz="4" w:space="6"/>
        </w:pBdr>
        <w:tabs>
          <w:tab w:val="right" w:pos="9026"/>
        </w:tabs>
        <w:spacing w:after="120" w:before="120"/>
      </w:pPr>
      <w:r>
        <w:rPr>
          <w:rFonts w:ascii="Inter" w:cs="Inter" w:eastAsia="Inter" w:hAnsi="Inter"/>
          <w:b/>
          <w:bCs/>
          <w:color w:val="C9A24B"/>
          <w:spacing w:val="60"/>
          <w:sz w:val="20"/>
          <w:szCs w:val="20"/>
        </w:rPr>
        <w:t xml:space="preserve">01   </w:t>
      </w:r>
      <w:r>
        <w:rPr>
          <w:rFonts w:ascii="Playfair Display" w:cs="Playfair Display" w:eastAsia="Playfair Display" w:hAnsi="Playfair Display"/>
          <w:color w:val="081A33"/>
          <w:sz w:val="30"/>
          <w:szCs w:val="30"/>
        </w:rPr>
        <w:t xml:space="preserve">Strategic Business Plan</w:t>
      </w:r>
      <w:r>
        <w:rPr>
          <w:rFonts w:ascii="Inter" w:cs="Inter" w:eastAsia="Inter" w:hAnsi="Inter"/>
        </w:rPr>
        <w:t xml:space="preserve">	</w:t>
      </w:r>
      <w:r>
        <w:rPr>
          <w:rFonts w:ascii="Inter" w:cs="Inter" w:eastAsia="Inter" w:hAnsi="Inter"/>
          <w:color w:val="475569"/>
          <w:spacing w:val="60"/>
          <w:sz w:val="16"/>
          <w:szCs w:val="16"/>
        </w:rPr>
        <w:t xml:space="preserve">FUTURE INTELLIGENCE REPORT</w:t>
      </w:r>
    </w:p>
    <w:p>
      <w:pPr>
        <w:pBdr>
          <w:bottom w:val="single" w:color="E5E7EB" w:sz="4" w:space="6"/>
        </w:pBdr>
        <w:tabs>
          <w:tab w:val="right" w:pos="9026"/>
        </w:tabs>
        <w:spacing w:after="120" w:before="120"/>
      </w:pPr>
      <w:r>
        <w:rPr>
          <w:rFonts w:ascii="Inter" w:cs="Inter" w:eastAsia="Inter" w:hAnsi="Inter"/>
          <w:b/>
          <w:bCs/>
          <w:color w:val="C9A24B"/>
          <w:spacing w:val="60"/>
          <w:sz w:val="20"/>
          <w:szCs w:val="20"/>
        </w:rPr>
        <w:t xml:space="preserve">02   </w:t>
      </w:r>
      <w:r>
        <w:rPr>
          <w:rFonts w:ascii="Playfair Display" w:cs="Playfair Display" w:eastAsia="Playfair Display" w:hAnsi="Playfair Display"/>
          <w:color w:val="081A33"/>
          <w:sz w:val="30"/>
          <w:szCs w:val="30"/>
        </w:rPr>
        <w:t xml:space="preserve">Client Proposal Template</w:t>
      </w:r>
      <w:r>
        <w:rPr>
          <w:rFonts w:ascii="Inter" w:cs="Inter" w:eastAsia="Inter" w:hAnsi="Inter"/>
        </w:rPr>
        <w:t xml:space="preserve">	</w:t>
      </w:r>
      <w:r>
        <w:rPr>
          <w:rFonts w:ascii="Inter" w:cs="Inter" w:eastAsia="Inter" w:hAnsi="Inter"/>
          <w:color w:val="475569"/>
          <w:spacing w:val="60"/>
          <w:sz w:val="16"/>
          <w:szCs w:val="16"/>
        </w:rPr>
        <w:t xml:space="preserve">STRATEGIC PARTNERSHIP PROPOSAL</w:t>
      </w:r>
    </w:p>
    <w:p>
      <w:pPr>
        <w:pBdr>
          <w:bottom w:val="single" w:color="E5E7EB" w:sz="4" w:space="6"/>
        </w:pBdr>
        <w:tabs>
          <w:tab w:val="right" w:pos="9026"/>
        </w:tabs>
        <w:spacing w:after="120" w:before="120"/>
      </w:pPr>
      <w:r>
        <w:rPr>
          <w:rFonts w:ascii="Inter" w:cs="Inter" w:eastAsia="Inter" w:hAnsi="Inter"/>
          <w:b/>
          <w:bCs/>
          <w:color w:val="C9A24B"/>
          <w:spacing w:val="60"/>
          <w:sz w:val="20"/>
          <w:szCs w:val="20"/>
        </w:rPr>
        <w:t xml:space="preserve">03   </w:t>
      </w:r>
      <w:r>
        <w:rPr>
          <w:rFonts w:ascii="Playfair Display" w:cs="Playfair Display" w:eastAsia="Playfair Display" w:hAnsi="Playfair Display"/>
          <w:color w:val="081A33"/>
          <w:sz w:val="30"/>
          <w:szCs w:val="30"/>
        </w:rPr>
        <w:t xml:space="preserve">Services &amp; Pricing</w:t>
      </w:r>
      <w:r>
        <w:rPr>
          <w:rFonts w:ascii="Inter" w:cs="Inter" w:eastAsia="Inter" w:hAnsi="Inter"/>
        </w:rPr>
        <w:t xml:space="preserve">	</w:t>
      </w:r>
      <w:r>
        <w:rPr>
          <w:rFonts w:ascii="Inter" w:cs="Inter" w:eastAsia="Inter" w:hAnsi="Inter"/>
          <w:color w:val="475569"/>
          <w:spacing w:val="60"/>
          <w:sz w:val="16"/>
          <w:szCs w:val="16"/>
        </w:rPr>
        <w:t xml:space="preserve">ADVISORY CATALOGUE</w:t>
      </w:r>
    </w:p>
    <w:p>
      <w:pPr>
        <w:pBdr>
          <w:bottom w:val="single" w:color="E5E7EB" w:sz="4" w:space="6"/>
        </w:pBdr>
        <w:tabs>
          <w:tab w:val="right" w:pos="9026"/>
        </w:tabs>
        <w:spacing w:after="120" w:before="120"/>
      </w:pPr>
      <w:r>
        <w:rPr>
          <w:rFonts w:ascii="Inter" w:cs="Inter" w:eastAsia="Inter" w:hAnsi="Inter"/>
          <w:b/>
          <w:bCs/>
          <w:color w:val="C9A24B"/>
          <w:spacing w:val="60"/>
          <w:sz w:val="20"/>
          <w:szCs w:val="20"/>
        </w:rPr>
        <w:t xml:space="preserve">04   </w:t>
      </w:r>
      <w:r>
        <w:rPr>
          <w:rFonts w:ascii="Playfair Display" w:cs="Playfair Display" w:eastAsia="Playfair Display" w:hAnsi="Playfair Display"/>
          <w:color w:val="081A33"/>
          <w:sz w:val="30"/>
          <w:szCs w:val="30"/>
        </w:rPr>
        <w:t xml:space="preserve">Service Level Agreement</w:t>
      </w:r>
      <w:r>
        <w:rPr>
          <w:rFonts w:ascii="Inter" w:cs="Inter" w:eastAsia="Inter" w:hAnsi="Inter"/>
        </w:rPr>
        <w:t xml:space="preserve">	</w:t>
      </w:r>
      <w:r>
        <w:rPr>
          <w:rFonts w:ascii="Inter" w:cs="Inter" w:eastAsia="Inter" w:hAnsi="Inter"/>
          <w:color w:val="475569"/>
          <w:spacing w:val="60"/>
          <w:sz w:val="16"/>
          <w:szCs w:val="16"/>
        </w:rPr>
        <w:t xml:space="preserve">ENTERPRISE CONTRACT</w:t>
      </w:r>
    </w:p>
    <w:p>
      <w:pPr>
        <w:pBdr>
          <w:bottom w:val="single" w:color="E5E7EB" w:sz="4" w:space="6"/>
        </w:pBdr>
        <w:tabs>
          <w:tab w:val="right" w:pos="9026"/>
        </w:tabs>
        <w:spacing w:after="120" w:before="120"/>
      </w:pPr>
      <w:r>
        <w:rPr>
          <w:rFonts w:ascii="Inter" w:cs="Inter" w:eastAsia="Inter" w:hAnsi="Inter"/>
          <w:b/>
          <w:bCs/>
          <w:color w:val="C9A24B"/>
          <w:spacing w:val="60"/>
          <w:sz w:val="20"/>
          <w:szCs w:val="20"/>
        </w:rPr>
        <w:t xml:space="preserve">05   </w:t>
      </w:r>
      <w:r>
        <w:rPr>
          <w:rFonts w:ascii="Playfair Display" w:cs="Playfair Display" w:eastAsia="Playfair Display" w:hAnsi="Playfair Display"/>
          <w:color w:val="081A33"/>
          <w:sz w:val="30"/>
          <w:szCs w:val="30"/>
        </w:rPr>
        <w:t xml:space="preserve">Terms &amp; Conditions</w:t>
      </w:r>
      <w:r>
        <w:rPr>
          <w:rFonts w:ascii="Inter" w:cs="Inter" w:eastAsia="Inter" w:hAnsi="Inter"/>
        </w:rPr>
        <w:t xml:space="preserve">	</w:t>
      </w:r>
      <w:r>
        <w:rPr>
          <w:rFonts w:ascii="Inter" w:cs="Inter" w:eastAsia="Inter" w:hAnsi="Inter"/>
          <w:color w:val="475569"/>
          <w:spacing w:val="60"/>
          <w:sz w:val="16"/>
          <w:szCs w:val="16"/>
        </w:rPr>
        <w:t xml:space="preserve">COMMERCIAL LEGAL</w:t>
      </w:r>
    </w:p>
    <w:p>
      <w:pPr>
        <w:sectPr>
          <w:footerReference w:type="default" r:id="rId7"/>
          <w:pgSz w:w="11906" w:h="16838" w:orient="portrait"/>
          <w:pgMar w:top="1080" w:right="1080" w:bottom="1080" w:left="1080" w:header="708" w:footer="708" w:gutter="0"/>
          <w:pgNumTyp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FUTURE INTELLIGENCE REPORT · 2026</w:t>
            </w:r>
          </w:p>
          <w:p>
            <w:pPr>
              <w:spacing w:before="240"/>
            </w:pPr>
            <w:r>
              <w:rPr>
                <w:rFonts w:ascii="Playfair Display" w:cs="Playfair Display" w:eastAsia="Playfair Display" w:hAnsi="Playfair Display"/>
                <w:color w:val="F5F7FA"/>
                <w:sz w:val="96"/>
                <w:szCs w:val="96"/>
              </w:rPr>
              <w:t xml:space="preserve">The Intelligence</w:t>
            </w:r>
          </w:p>
          <w:p>
            <w:pPr>
              <w:spacing w:before="320"/>
            </w:pPr>
            <w:r>
              <w:rPr>
                <w:rFonts w:ascii="Playfair Display" w:cs="Playfair Display" w:eastAsia="Playfair Display" w:hAnsi="Playfair Display"/>
                <w:i/>
                <w:iCs/>
                <w:color w:val="8FA8C9"/>
                <w:sz w:val="40"/>
                <w:szCs w:val="40"/>
              </w:rPr>
              <w:t xml:space="preserve">Advantage.</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PREPARED BY OAKWELL CONSULTING LTD   ·   EDITION 2026 Q1   ·   CONFIDENTIAL · VOL I</w:t>
            </w:r>
          </w:p>
        </w:tc>
      </w:tr>
    </w:tbl>
    <w:p>
      <w:r>
        <w:br w:type="page"/>
      </w:r>
    </w:p>
    <w:p>
      <w:pPr>
        <w:spacing w:after="40" w:before="40"/>
      </w:pPr>
      <w:r>
        <w:rPr>
          <w:rFonts w:ascii="Inter" w:cs="Inter" w:eastAsia="Inter" w:hAnsi="Inter"/>
          <w:b/>
          <w:bCs/>
          <w:color w:val="C9A24B"/>
          <w:spacing w:val="60"/>
          <w:sz w:val="16"/>
          <w:szCs w:val="16"/>
        </w:rPr>
        <w:t xml:space="preserve">01 · EXECUTIVE SUMMARY</w:t>
      </w:r>
    </w:p>
    <w:p>
      <w:pPr>
        <w:pStyle w:val="Heading1"/>
        <w:spacing w:after="140" w:before="260"/>
      </w:pPr>
      <w:r>
        <w:rPr>
          <w:rFonts w:ascii="Playfair Display" w:cs="Playfair Display" w:eastAsia="Playfair Display" w:hAnsi="Playfair Display"/>
          <w:b w:val="false"/>
          <w:bCs w:val="false"/>
          <w:color w:val="081A33"/>
        </w:rPr>
        <w:t xml:space="preserve">A strategic intelligence partner for enterprise decisions.</w:t>
      </w:r>
    </w:p>
    <w:p>
      <w:pPr>
        <w:spacing w:after="80" w:before="80" w:line="320"/>
      </w:pPr>
      <w:r>
        <w:rPr>
          <w:rFonts w:ascii="Inter" w:cs="Inter" w:eastAsia="Inter" w:hAnsi="Inter"/>
          <w:color w:val="374151"/>
          <w:sz w:val="22"/>
          <w:szCs w:val="22"/>
        </w:rPr>
        <w:t xml:space="preserve">Oakwell Consulting Ltd is a future-focused strategic intelligence consultancy combining business research, technology insight, and executive advisory to help organisations make better decisions — before they commit capital.</w:t>
      </w:r>
    </w:p>
    <w:p>
      <w:pPr>
        <w:spacing w:after="80" w:before="80" w:line="320"/>
      </w:pPr>
      <w:r>
        <w:rPr>
          <w:rFonts w:ascii="Inter" w:cs="Inter" w:eastAsia="Inter" w:hAnsi="Inter"/>
          <w:color w:val="374151"/>
          <w:sz w:val="22"/>
          <w:szCs w:val="22"/>
        </w:rPr>
        <w:t xml:space="preserve">Operating as a B2B professional services firm, Oakwell partners with mid-market and enterprise organisations that require independent research capability and strategic clarity. We complement in-house strategy functions; we do not compete with them.</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tblHeader/>
        </w:trPr>
        <w:tc>
          <w:tcPr>
            <w:tcW w:type="dxa" w:w="3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KPI</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1</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2</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3</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Revenue</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£480k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£2.10m</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£4.20m</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Retainers</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6</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14</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22</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Gross margin</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72%</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72%</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72%</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Retention</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92%</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92%</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92%</w:t>
            </w:r>
          </w:p>
        </w:tc>
      </w:tr>
    </w:tbl>
    <w:p>
      <w:pPr>
        <w:spacing w:before="3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81A33" w:sz="4"/>
              <w:left w:val="single" w:color="081A33" w:sz="4"/>
              <w:bottom w:val="single" w:color="081A33" w:sz="4"/>
              <w:right w:val="single" w:color="081A33" w:sz="4"/>
            </w:tcBorders>
            <w:shd w:fill="081A33" w:val="clear"/>
            <w:tcMar>
              <w:top w:type="dxa" w:w="300"/>
              <w:left w:type="dxa" w:w="400"/>
              <w:bottom w:type="dxa" w:w="300"/>
              <w:right w:type="dxa" w:w="400"/>
            </w:tcMar>
          </w:tcPr>
          <w:p>
            <w:r>
              <w:rPr>
                <w:rFonts w:ascii="Inter" w:cs="Inter" w:eastAsia="Inter" w:hAnsi="Inter"/>
                <w:b/>
                <w:bCs/>
                <w:color w:val="C9A24B"/>
                <w:spacing w:val="80"/>
                <w:sz w:val="18"/>
                <w:szCs w:val="18"/>
              </w:rPr>
              <w:t xml:space="preserve">VISION</w:t>
            </w:r>
          </w:p>
          <w:p>
            <w:pPr>
              <w:spacing w:before="160"/>
            </w:pPr>
            <w:r>
              <w:rPr>
                <w:rFonts w:ascii="Playfair Display" w:cs="Playfair Display" w:eastAsia="Playfair Display" w:hAnsi="Playfair Display"/>
                <w:i/>
                <w:iCs/>
                <w:color w:val="F5F7FA"/>
                <w:sz w:val="28"/>
                <w:szCs w:val="28"/>
              </w:rPr>
              <w:t xml:space="preserve">To be the trusted intelligence partner behind every consequential enterprise decision in the UK.</w:t>
            </w:r>
          </w:p>
        </w:tc>
      </w:tr>
    </w:tbl>
    <w:p>
      <w:pPr>
        <w:spacing w:before="120"/>
      </w:pPr>
    </w:p>
    <w:p>
      <w:pPr>
        <w:spacing w:after="60" w:before="200"/>
      </w:pPr>
      <w:r>
        <w:rPr>
          <w:rFonts w:ascii="Inter" w:cs="Inter" w:eastAsia="Inter" w:hAnsi="Inter"/>
          <w:b/>
          <w:bCs/>
          <w:color w:val="0F3D63"/>
          <w:spacing w:val="40"/>
          <w:sz w:val="16"/>
          <w:szCs w:val="16"/>
        </w:rPr>
        <w:t xml:space="preserve">MISSION</w:t>
      </w:r>
    </w:p>
    <w:p>
      <w:pPr>
        <w:spacing w:after="80" w:before="80" w:line="320"/>
      </w:pPr>
      <w:r>
        <w:rPr>
          <w:rFonts w:ascii="Inter" w:cs="Inter" w:eastAsia="Inter" w:hAnsi="Inter"/>
          <w:color w:val="374151"/>
          <w:sz w:val="22"/>
          <w:szCs w:val="22"/>
        </w:rPr>
        <w:t xml:space="preserve">Empower boards with rigorous, decision-ready intelligence that strengthens strategy, reduces risk, and compounds long-term value.</w:t>
      </w:r>
    </w:p>
    <w:p>
      <w:r>
        <w:br w:type="page"/>
      </w:r>
    </w:p>
    <w:p>
      <w:pPr>
        <w:spacing w:after="40" w:before="40"/>
      </w:pPr>
      <w:r>
        <w:rPr>
          <w:rFonts w:ascii="Inter" w:cs="Inter" w:eastAsia="Inter" w:hAnsi="Inter"/>
          <w:b/>
          <w:bCs/>
          <w:color w:val="C9A24B"/>
          <w:spacing w:val="60"/>
          <w:sz w:val="16"/>
          <w:szCs w:val="16"/>
        </w:rPr>
        <w:t xml:space="preserve">03 · THE MARKET PROBLEM</w:t>
      </w:r>
    </w:p>
    <w:p>
      <w:pPr>
        <w:pStyle w:val="Heading2"/>
        <w:spacing w:after="140" w:before="260"/>
      </w:pPr>
      <w:r>
        <w:rPr>
          <w:rFonts w:ascii="Playfair Display" w:cs="Playfair Display" w:eastAsia="Playfair Display" w:hAnsi="Playfair Display"/>
          <w:b w:val="false"/>
          <w:bCs w:val="false"/>
          <w:color w:val="081A33"/>
        </w:rPr>
        <w:t xml:space="preserve">Boards decide with fragments, not intelligence.</w:t>
      </w:r>
    </w:p>
    <w:p>
      <w:pPr>
        <w:spacing w:after="80" w:before="80" w:line="320"/>
      </w:pPr>
      <w:r>
        <w:rPr>
          <w:rFonts w:ascii="Inter" w:cs="Inter" w:eastAsia="Inter" w:hAnsi="Inter"/>
          <w:color w:val="374151"/>
          <w:sz w:val="22"/>
          <w:szCs w:val="22"/>
        </w:rPr>
        <w:t xml:space="preserve">Executive teams face increasing pressure to act on complex, fast-moving markets. Most rely on fragmented internal data, generalist consultants, and vendor-supplied narratives — none of which are engineered for consequential capital decisions.</w:t>
      </w:r>
    </w:p>
    <w:p>
      <w:pPr>
        <w:spacing w:after="80" w:before="80" w:line="320"/>
      </w:pPr>
      <w:r>
        <w:rPr>
          <w:rFonts w:ascii="Inter" w:cs="Inter" w:eastAsia="Inter" w:hAnsi="Inter"/>
          <w:color w:val="374151"/>
          <w:sz w:val="22"/>
          <w:szCs w:val="22"/>
        </w:rPr>
        <w:t xml:space="preserve">The result: strategy is defended, not designed. Investment is committed against assumptions that were never independently pressure-tested.</w:t>
      </w:r>
    </w:p>
    <w:p>
      <w:pPr>
        <w:spacing w:after="60" w:before="200"/>
      </w:pPr>
      <w:r>
        <w:rPr>
          <w:rFonts w:ascii="Inter" w:cs="Inter" w:eastAsia="Inter" w:hAnsi="Inter"/>
          <w:b/>
          <w:bCs/>
          <w:color w:val="0F3D63"/>
          <w:spacing w:val="40"/>
          <w:sz w:val="16"/>
          <w:szCs w:val="16"/>
        </w:rPr>
        <w:t xml:space="preserve">SIGNALS</w:t>
      </w:r>
    </w:p>
    <w:p>
      <w:pPr>
        <w:pStyle w:val="ListParagraph"/>
        <w:numPr>
          <w:ilvl w:val="0"/>
          <w:numId w:val="2"/>
        </w:numPr>
        <w:spacing w:after="40" w:before="40" w:line="300"/>
      </w:pPr>
      <w:r>
        <w:rPr>
          <w:rFonts w:ascii="Inter" w:cs="Inter" w:eastAsia="Inter" w:hAnsi="Inter"/>
          <w:color w:val="374151"/>
          <w:sz w:val="22"/>
          <w:szCs w:val="22"/>
        </w:rPr>
        <w:t xml:space="preserve">73% of UK boards report low confidence in the intelligence supporting major decisions.</w:t>
      </w:r>
    </w:p>
    <w:p>
      <w:pPr>
        <w:pStyle w:val="ListParagraph"/>
        <w:numPr>
          <w:ilvl w:val="0"/>
          <w:numId w:val="2"/>
        </w:numPr>
        <w:spacing w:after="40" w:before="40" w:line="300"/>
      </w:pPr>
      <w:r>
        <w:rPr>
          <w:rFonts w:ascii="Inter" w:cs="Inter" w:eastAsia="Inter" w:hAnsi="Inter"/>
          <w:color w:val="374151"/>
          <w:sz w:val="22"/>
          <w:szCs w:val="22"/>
        </w:rPr>
        <w:t xml:space="preserve">Average enterprise spends £2.1m annually on advisory with no independent verification layer.</w:t>
      </w:r>
    </w:p>
    <w:p>
      <w:pPr>
        <w:pStyle w:val="ListParagraph"/>
        <w:numPr>
          <w:ilvl w:val="0"/>
          <w:numId w:val="2"/>
        </w:numPr>
        <w:spacing w:after="40" w:before="40" w:line="300"/>
      </w:pPr>
      <w:r>
        <w:rPr>
          <w:rFonts w:ascii="Inter" w:cs="Inter" w:eastAsia="Inter" w:hAnsi="Inter"/>
          <w:color w:val="374151"/>
          <w:sz w:val="22"/>
          <w:szCs w:val="22"/>
        </w:rPr>
        <w:t xml:space="preserve">Time-to-insight has doubled as data volume has grown 10×.</w:t>
      </w:r>
    </w:p>
    <w:p>
      <w:r>
        <w:br w:type="page"/>
      </w:r>
    </w:p>
    <w:p>
      <w:pPr>
        <w:spacing w:after="40" w:before="40"/>
      </w:pPr>
      <w:r>
        <w:rPr>
          <w:rFonts w:ascii="Inter" w:cs="Inter" w:eastAsia="Inter" w:hAnsi="Inter"/>
          <w:b/>
          <w:bCs/>
          <w:color w:val="C9A24B"/>
          <w:spacing w:val="60"/>
          <w:sz w:val="16"/>
          <w:szCs w:val="16"/>
        </w:rPr>
        <w:t xml:space="preserve">04 · THE INTELLIGENCE GAP</w:t>
      </w:r>
    </w:p>
    <w:p>
      <w:pPr>
        <w:pStyle w:val="Heading2"/>
        <w:spacing w:after="140" w:before="260"/>
      </w:pPr>
      <w:r>
        <w:rPr>
          <w:rFonts w:ascii="Playfair Display" w:cs="Playfair Display" w:eastAsia="Playfair Display" w:hAnsi="Playfair Display"/>
          <w:b w:val="false"/>
          <w:bCs w:val="false"/>
          <w:color w:val="081A33"/>
        </w:rPr>
        <w:t xml:space="preserve">Between data and decision sits a vacuum.</w:t>
      </w:r>
    </w:p>
    <w:p>
      <w:pPr>
        <w:spacing w:after="80" w:before="80" w:line="320"/>
      </w:pPr>
      <w:r>
        <w:rPr>
          <w:rFonts w:ascii="Inter" w:cs="Inter" w:eastAsia="Inter" w:hAnsi="Inter"/>
          <w:color w:val="374151"/>
          <w:sz w:val="22"/>
          <w:szCs w:val="22"/>
        </w:rPr>
        <w:t xml:space="preserve">Enterprises are data-rich and insight-poor. Analytics teams surface patterns; strategy teams craft narratives; advisors sell recommendations. No function is structurally accountable for the independent intelligence layer that bridges them.</w:t>
      </w:r>
    </w:p>
    <w:p>
      <w:pPr>
        <w:spacing w:after="80" w:before="80" w:line="320"/>
      </w:pPr>
      <w:r>
        <w:rPr>
          <w:rFonts w:ascii="Inter" w:cs="Inter" w:eastAsia="Inter" w:hAnsi="Inter"/>
          <w:color w:val="374151"/>
          <w:sz w:val="22"/>
          <w:szCs w:val="22"/>
        </w:rPr>
        <w:t xml:space="preserve">Oakwell was founded to close this gap — as the specialist research and advisory partner that sits alongside the executive, not the vendor.</w:t>
      </w:r>
    </w:p>
    <w:p>
      <w:pPr>
        <w:spacing w:after="60" w:before="200"/>
      </w:pPr>
      <w:r>
        <w:rPr>
          <w:rFonts w:ascii="Inter" w:cs="Inter" w:eastAsia="Inter" w:hAnsi="Inter"/>
          <w:b/>
          <w:bCs/>
          <w:color w:val="0F3D63"/>
          <w:spacing w:val="40"/>
          <w:sz w:val="16"/>
          <w:szCs w:val="16"/>
        </w:rPr>
        <w:t xml:space="preserve">SIGNALS</w:t>
      </w:r>
    </w:p>
    <w:p>
      <w:pPr>
        <w:pStyle w:val="ListParagraph"/>
        <w:numPr>
          <w:ilvl w:val="0"/>
          <w:numId w:val="2"/>
        </w:numPr>
        <w:spacing w:after="40" w:before="40" w:line="300"/>
      </w:pPr>
      <w:r>
        <w:rPr>
          <w:rFonts w:ascii="Inter" w:cs="Inter" w:eastAsia="Inter" w:hAnsi="Inter"/>
          <w:color w:val="374151"/>
          <w:sz w:val="22"/>
          <w:szCs w:val="22"/>
        </w:rPr>
        <w:t xml:space="preserve">Independent — no product, no platform, no conflict.</w:t>
      </w:r>
    </w:p>
    <w:p>
      <w:pPr>
        <w:pStyle w:val="ListParagraph"/>
        <w:numPr>
          <w:ilvl w:val="0"/>
          <w:numId w:val="2"/>
        </w:numPr>
        <w:spacing w:after="40" w:before="40" w:line="300"/>
      </w:pPr>
      <w:r>
        <w:rPr>
          <w:rFonts w:ascii="Inter" w:cs="Inter" w:eastAsia="Inter" w:hAnsi="Inter"/>
          <w:color w:val="374151"/>
          <w:sz w:val="22"/>
          <w:szCs w:val="22"/>
        </w:rPr>
        <w:t xml:space="preserve">Research-led — every recommendation traceable to primary evidence.</w:t>
      </w:r>
    </w:p>
    <w:p>
      <w:pPr>
        <w:pStyle w:val="ListParagraph"/>
        <w:numPr>
          <w:ilvl w:val="0"/>
          <w:numId w:val="2"/>
        </w:numPr>
        <w:spacing w:after="40" w:before="40" w:line="300"/>
      </w:pPr>
      <w:r>
        <w:rPr>
          <w:rFonts w:ascii="Inter" w:cs="Inter" w:eastAsia="Inter" w:hAnsi="Inter"/>
          <w:color w:val="374151"/>
          <w:sz w:val="22"/>
          <w:szCs w:val="22"/>
        </w:rPr>
        <w:t xml:space="preserve">Decision-ready — outputs engineered for the boardroom, not the workshop.</w:t>
      </w:r>
    </w:p>
    <w:p>
      <w:r>
        <w:br w:type="page"/>
      </w:r>
    </w:p>
    <w:p>
      <w:pPr>
        <w:spacing w:after="40" w:before="40"/>
      </w:pPr>
      <w:r>
        <w:rPr>
          <w:rFonts w:ascii="Inter" w:cs="Inter" w:eastAsia="Inter" w:hAnsi="Inter"/>
          <w:b/>
          <w:bCs/>
          <w:color w:val="C9A24B"/>
          <w:spacing w:val="60"/>
          <w:sz w:val="16"/>
          <w:szCs w:val="16"/>
        </w:rPr>
        <w:t xml:space="preserve">05 · OUR STRATEGIC ADVANTAGE</w:t>
      </w:r>
    </w:p>
    <w:p>
      <w:pPr>
        <w:pStyle w:val="Heading2"/>
        <w:spacing w:after="140" w:before="260"/>
      </w:pPr>
      <w:r>
        <w:rPr>
          <w:rFonts w:ascii="Playfair Display" w:cs="Playfair Display" w:eastAsia="Playfair Display" w:hAnsi="Playfair Display"/>
          <w:b w:val="false"/>
          <w:bCs w:val="false"/>
          <w:color w:val="081A33"/>
        </w:rPr>
        <w:t xml:space="preserve">A boutique built on rigour.</w:t>
      </w:r>
    </w:p>
    <w:p>
      <w:pPr>
        <w:spacing w:after="80" w:before="80" w:line="320"/>
      </w:pPr>
      <w:r>
        <w:rPr>
          <w:rFonts w:ascii="Inter" w:cs="Inter" w:eastAsia="Inter" w:hAnsi="Inter"/>
          <w:color w:val="374151"/>
          <w:sz w:val="22"/>
          <w:szCs w:val="22"/>
        </w:rPr>
        <w:t xml:space="preserve">Oakwell operates a lean, senior-only delivery model. Every engagement is led by a principal with 15+ years of strategy and research experience. There are no juniors on the file.</w:t>
      </w:r>
    </w:p>
    <w:p>
      <w:pPr>
        <w:spacing w:after="80" w:before="80" w:line="320"/>
      </w:pPr>
      <w:r>
        <w:rPr>
          <w:rFonts w:ascii="Inter" w:cs="Inter" w:eastAsia="Inter" w:hAnsi="Inter"/>
          <w:color w:val="374151"/>
          <w:sz w:val="22"/>
          <w:szCs w:val="22"/>
        </w:rPr>
        <w:t xml:space="preserve">Our proprietary Signal frameworks combine market, competitive, consumer, and technology research streams into a single intelligence layer — delivered as an executive brief, not a 200-page report.</w:t>
      </w:r>
    </w:p>
    <w:p>
      <w:pPr>
        <w:spacing w:after="60" w:before="200"/>
      </w:pPr>
      <w:r>
        <w:rPr>
          <w:rFonts w:ascii="Inter" w:cs="Inter" w:eastAsia="Inter" w:hAnsi="Inter"/>
          <w:b/>
          <w:bCs/>
          <w:color w:val="0F3D63"/>
          <w:spacing w:val="40"/>
          <w:sz w:val="16"/>
          <w:szCs w:val="16"/>
        </w:rPr>
        <w:t xml:space="preserve">SIGNALS</w:t>
      </w:r>
    </w:p>
    <w:p>
      <w:pPr>
        <w:pStyle w:val="ListParagraph"/>
        <w:numPr>
          <w:ilvl w:val="0"/>
          <w:numId w:val="2"/>
        </w:numPr>
        <w:spacing w:after="40" w:before="40" w:line="300"/>
      </w:pPr>
      <w:r>
        <w:rPr>
          <w:rFonts w:ascii="Inter" w:cs="Inter" w:eastAsia="Inter" w:hAnsi="Inter"/>
          <w:color w:val="374151"/>
          <w:sz w:val="22"/>
          <w:szCs w:val="22"/>
        </w:rPr>
        <w:t xml:space="preserve">Senior-only pods · zero handoff cost.</w:t>
      </w:r>
    </w:p>
    <w:p>
      <w:pPr>
        <w:pStyle w:val="ListParagraph"/>
        <w:numPr>
          <w:ilvl w:val="0"/>
          <w:numId w:val="2"/>
        </w:numPr>
        <w:spacing w:after="40" w:before="40" w:line="300"/>
      </w:pPr>
      <w:r>
        <w:rPr>
          <w:rFonts w:ascii="Inter" w:cs="Inter" w:eastAsia="Inter" w:hAnsi="Inter"/>
          <w:color w:val="374151"/>
          <w:sz w:val="22"/>
          <w:szCs w:val="22"/>
        </w:rPr>
        <w:t xml:space="preserve">Signal™ methodology · four research streams, one brief.</w:t>
      </w:r>
    </w:p>
    <w:p>
      <w:pPr>
        <w:pStyle w:val="ListParagraph"/>
        <w:numPr>
          <w:ilvl w:val="0"/>
          <w:numId w:val="2"/>
        </w:numPr>
        <w:spacing w:after="40" w:before="40" w:line="300"/>
      </w:pPr>
      <w:r>
        <w:rPr>
          <w:rFonts w:ascii="Inter" w:cs="Inter" w:eastAsia="Inter" w:hAnsi="Inter"/>
          <w:color w:val="374151"/>
          <w:sz w:val="22"/>
          <w:szCs w:val="22"/>
        </w:rPr>
        <w:t xml:space="preserve">Retainer-first economics · predictable revenue, deep client context.</w:t>
      </w:r>
    </w:p>
    <w:p>
      <w:pPr>
        <w:pStyle w:val="ListParagraph"/>
        <w:numPr>
          <w:ilvl w:val="0"/>
          <w:numId w:val="2"/>
        </w:numPr>
        <w:spacing w:after="40" w:before="40" w:line="300"/>
      </w:pPr>
      <w:r>
        <w:rPr>
          <w:rFonts w:ascii="Inter" w:cs="Inter" w:eastAsia="Inter" w:hAnsi="Inter"/>
          <w:color w:val="374151"/>
          <w:sz w:val="22"/>
          <w:szCs w:val="22"/>
        </w:rPr>
        <w:t xml:space="preserve">Sector focus · financial services, technology, industrials.</w:t>
      </w:r>
    </w:p>
    <w:p>
      <w:r>
        <w:br w:type="page"/>
      </w:r>
    </w:p>
    <w:p>
      <w:pPr>
        <w:spacing w:after="40" w:before="40"/>
      </w:pPr>
      <w:r>
        <w:rPr>
          <w:rFonts w:ascii="Inter" w:cs="Inter" w:eastAsia="Inter" w:hAnsi="Inter"/>
          <w:b/>
          <w:bCs/>
          <w:color w:val="C9A24B"/>
          <w:spacing w:val="60"/>
          <w:sz w:val="16"/>
          <w:szCs w:val="16"/>
        </w:rPr>
        <w:t xml:space="preserve">06 · THE FUTURE OPPORTUNITY</w:t>
      </w:r>
    </w:p>
    <w:p>
      <w:pPr>
        <w:pStyle w:val="Heading2"/>
        <w:spacing w:after="140" w:before="260"/>
      </w:pPr>
      <w:r>
        <w:rPr>
          <w:rFonts w:ascii="Playfair Display" w:cs="Playfair Display" w:eastAsia="Playfair Display" w:hAnsi="Playfair Display"/>
          <w:b w:val="false"/>
          <w:bCs w:val="false"/>
          <w:color w:val="081A33"/>
        </w:rPr>
        <w:t xml:space="preserve">AI has not replaced judgment. It has raised its price.</w:t>
      </w:r>
    </w:p>
    <w:p>
      <w:pPr>
        <w:spacing w:after="80" w:before="80" w:line="320"/>
      </w:pPr>
      <w:r>
        <w:rPr>
          <w:rFonts w:ascii="Inter" w:cs="Inter" w:eastAsia="Inter" w:hAnsi="Inter"/>
          <w:color w:val="374151"/>
          <w:sz w:val="22"/>
          <w:szCs w:val="22"/>
        </w:rPr>
        <w:t xml:space="preserve">The rise of generative AI has commoditised information but not intelligence. Executives can now generate answers in seconds — and are therefore under greater pressure to ensure those answers are the right ones.</w:t>
      </w:r>
    </w:p>
    <w:p>
      <w:pPr>
        <w:spacing w:after="80" w:before="80" w:line="320"/>
      </w:pPr>
      <w:r>
        <w:rPr>
          <w:rFonts w:ascii="Inter" w:cs="Inter" w:eastAsia="Inter" w:hAnsi="Inter"/>
          <w:color w:val="374151"/>
          <w:sz w:val="22"/>
          <w:szCs w:val="22"/>
        </w:rPr>
        <w:t xml:space="preserve">Oakwell is positioned as the human-verified intelligence layer above AI-generated analysis: the firm that boards call when the cost of being wrong is measured in eight figures.</w:t>
      </w:r>
    </w:p>
    <w:p>
      <w:pPr>
        <w:spacing w:after="60" w:before="200"/>
      </w:pPr>
      <w:r>
        <w:rPr>
          <w:rFonts w:ascii="Inter" w:cs="Inter" w:eastAsia="Inter" w:hAnsi="Inter"/>
          <w:b/>
          <w:bCs/>
          <w:color w:val="0F3D63"/>
          <w:spacing w:val="40"/>
          <w:sz w:val="16"/>
          <w:szCs w:val="16"/>
        </w:rPr>
        <w:t xml:space="preserve">SIGNALS</w:t>
      </w:r>
    </w:p>
    <w:p>
      <w:pPr>
        <w:pStyle w:val="ListParagraph"/>
        <w:numPr>
          <w:ilvl w:val="0"/>
          <w:numId w:val="2"/>
        </w:numPr>
        <w:spacing w:after="40" w:before="40" w:line="300"/>
      </w:pPr>
      <w:r>
        <w:rPr>
          <w:rFonts w:ascii="Inter" w:cs="Inter" w:eastAsia="Inter" w:hAnsi="Inter"/>
          <w:color w:val="374151"/>
          <w:sz w:val="22"/>
          <w:szCs w:val="22"/>
        </w:rPr>
        <w:t xml:space="preserve">UK advisory market · £12.4bn, growing 6.8% CAGR.</w:t>
      </w:r>
    </w:p>
    <w:p>
      <w:pPr>
        <w:pStyle w:val="ListParagraph"/>
        <w:numPr>
          <w:ilvl w:val="0"/>
          <w:numId w:val="2"/>
        </w:numPr>
        <w:spacing w:after="40" w:before="40" w:line="300"/>
      </w:pPr>
      <w:r>
        <w:rPr>
          <w:rFonts w:ascii="Inter" w:cs="Inter" w:eastAsia="Inter" w:hAnsi="Inter"/>
          <w:color w:val="374151"/>
          <w:sz w:val="22"/>
          <w:szCs w:val="22"/>
        </w:rPr>
        <w:t xml:space="preserve">AI-adjacent advisory · £2.1bn subsegment, 22% CAGR.</w:t>
      </w:r>
    </w:p>
    <w:p>
      <w:pPr>
        <w:pStyle w:val="ListParagraph"/>
        <w:numPr>
          <w:ilvl w:val="0"/>
          <w:numId w:val="2"/>
        </w:numPr>
        <w:spacing w:after="40" w:before="40" w:line="300"/>
      </w:pPr>
      <w:r>
        <w:rPr>
          <w:rFonts w:ascii="Inter" w:cs="Inter" w:eastAsia="Inter" w:hAnsi="Inter"/>
          <w:color w:val="374151"/>
          <w:sz w:val="22"/>
          <w:szCs w:val="22"/>
        </w:rPr>
        <w:t xml:space="preserve">Enterprise research spend · shifting from build to buy.</w:t>
      </w:r>
    </w:p>
    <w:p>
      <w:r>
        <w:br w:type="page"/>
      </w:r>
    </w:p>
    <w:p>
      <w:pPr>
        <w:spacing w:after="40" w:before="40"/>
      </w:pPr>
      <w:r>
        <w:rPr>
          <w:rFonts w:ascii="Inter" w:cs="Inter" w:eastAsia="Inter" w:hAnsi="Inter"/>
          <w:b/>
          <w:bCs/>
          <w:color w:val="C9A24B"/>
          <w:spacing w:val="60"/>
          <w:sz w:val="16"/>
          <w:szCs w:val="16"/>
        </w:rPr>
        <w:t xml:space="preserve">07 · GROWTH ROADMAP</w:t>
      </w:r>
    </w:p>
    <w:p>
      <w:pPr>
        <w:pStyle w:val="Heading2"/>
        <w:spacing w:after="140" w:before="260"/>
      </w:pPr>
      <w:r>
        <w:rPr>
          <w:rFonts w:ascii="Playfair Display" w:cs="Playfair Display" w:eastAsia="Playfair Display" w:hAnsi="Playfair Display"/>
          <w:b w:val="false"/>
          <w:bCs w:val="false"/>
          <w:color w:val="081A33"/>
        </w:rPr>
        <w:t xml:space="preserve">Three horizons.</w:t>
      </w:r>
    </w:p>
    <w:p>
      <w:pPr>
        <w:spacing w:after="80" w:before="240"/>
      </w:pPr>
      <w:r>
        <w:rPr>
          <w:rFonts w:ascii="Inter" w:cs="Inter" w:eastAsia="Inter" w:hAnsi="Inter"/>
          <w:b/>
          <w:bCs/>
          <w:color w:val="0F3D63"/>
          <w:spacing w:val="60"/>
          <w:sz w:val="20"/>
          <w:szCs w:val="20"/>
        </w:rPr>
        <w:t xml:space="preserve">YEAR 01 · FOUNDATION</w:t>
      </w:r>
    </w:p>
    <w:p>
      <w:pPr>
        <w:pStyle w:val="ListParagraph"/>
        <w:numPr>
          <w:ilvl w:val="0"/>
          <w:numId w:val="2"/>
        </w:numPr>
        <w:spacing w:after="40" w:before="40" w:line="300"/>
      </w:pPr>
      <w:r>
        <w:rPr>
          <w:rFonts w:ascii="Inter" w:cs="Inter" w:eastAsia="Inter" w:hAnsi="Inter"/>
          <w:color w:val="374151"/>
          <w:sz w:val="22"/>
          <w:szCs w:val="22"/>
        </w:rPr>
        <w:t xml:space="preserve">6 anchor retainers</w:t>
      </w:r>
    </w:p>
    <w:p>
      <w:pPr>
        <w:pStyle w:val="ListParagraph"/>
        <w:numPr>
          <w:ilvl w:val="0"/>
          <w:numId w:val="2"/>
        </w:numPr>
        <w:spacing w:after="40" w:before="40" w:line="300"/>
      </w:pPr>
      <w:r>
        <w:rPr>
          <w:rFonts w:ascii="Inter" w:cs="Inter" w:eastAsia="Inter" w:hAnsi="Inter"/>
          <w:color w:val="374151"/>
          <w:sz w:val="22"/>
          <w:szCs w:val="22"/>
        </w:rPr>
        <w:t xml:space="preserve">Sector focus: financial services + technology</w:t>
      </w:r>
    </w:p>
    <w:p>
      <w:pPr>
        <w:pStyle w:val="ListParagraph"/>
        <w:numPr>
          <w:ilvl w:val="0"/>
          <w:numId w:val="2"/>
        </w:numPr>
        <w:spacing w:after="40" w:before="40" w:line="300"/>
      </w:pPr>
      <w:r>
        <w:rPr>
          <w:rFonts w:ascii="Inter" w:cs="Inter" w:eastAsia="Inter" w:hAnsi="Inter"/>
          <w:color w:val="374151"/>
          <w:sz w:val="22"/>
          <w:szCs w:val="22"/>
        </w:rPr>
        <w:t xml:space="preserve">Signal™ v1 shipped</w:t>
      </w:r>
    </w:p>
    <w:p>
      <w:pPr>
        <w:pStyle w:val="ListParagraph"/>
        <w:numPr>
          <w:ilvl w:val="0"/>
          <w:numId w:val="2"/>
        </w:numPr>
        <w:spacing w:after="40" w:before="40" w:line="300"/>
      </w:pPr>
      <w:r>
        <w:rPr>
          <w:rFonts w:ascii="Inter" w:cs="Inter" w:eastAsia="Inter" w:hAnsi="Inter"/>
          <w:color w:val="374151"/>
          <w:sz w:val="22"/>
          <w:szCs w:val="22"/>
        </w:rPr>
        <w:t xml:space="preserve">Break-even Q3</w:t>
      </w:r>
    </w:p>
    <w:p>
      <w:pPr>
        <w:spacing w:after="80" w:before="240"/>
      </w:pPr>
      <w:r>
        <w:rPr>
          <w:rFonts w:ascii="Inter" w:cs="Inter" w:eastAsia="Inter" w:hAnsi="Inter"/>
          <w:b/>
          <w:bCs/>
          <w:color w:val="0F3D63"/>
          <w:spacing w:val="60"/>
          <w:sz w:val="20"/>
          <w:szCs w:val="20"/>
        </w:rPr>
        <w:t xml:space="preserve">YEAR 02 · EXPANSION</w:t>
      </w:r>
    </w:p>
    <w:p>
      <w:pPr>
        <w:pStyle w:val="ListParagraph"/>
        <w:numPr>
          <w:ilvl w:val="0"/>
          <w:numId w:val="2"/>
        </w:numPr>
        <w:spacing w:after="40" w:before="40" w:line="300"/>
      </w:pPr>
      <w:r>
        <w:rPr>
          <w:rFonts w:ascii="Inter" w:cs="Inter" w:eastAsia="Inter" w:hAnsi="Inter"/>
          <w:color w:val="374151"/>
          <w:sz w:val="22"/>
          <w:szCs w:val="22"/>
        </w:rPr>
        <w:t xml:space="preserve">14 retainers across 3 sectors</w:t>
      </w:r>
    </w:p>
    <w:p>
      <w:pPr>
        <w:pStyle w:val="ListParagraph"/>
        <w:numPr>
          <w:ilvl w:val="0"/>
          <w:numId w:val="2"/>
        </w:numPr>
        <w:spacing w:after="40" w:before="40" w:line="300"/>
      </w:pPr>
      <w:r>
        <w:rPr>
          <w:rFonts w:ascii="Inter" w:cs="Inter" w:eastAsia="Inter" w:hAnsi="Inter"/>
          <w:color w:val="374151"/>
          <w:sz w:val="22"/>
          <w:szCs w:val="22"/>
        </w:rPr>
        <w:t xml:space="preserve">Senior associate hires</w:t>
      </w:r>
    </w:p>
    <w:p>
      <w:pPr>
        <w:pStyle w:val="ListParagraph"/>
        <w:numPr>
          <w:ilvl w:val="0"/>
          <w:numId w:val="2"/>
        </w:numPr>
        <w:spacing w:after="40" w:before="40" w:line="300"/>
      </w:pPr>
      <w:r>
        <w:rPr>
          <w:rFonts w:ascii="Inter" w:cs="Inter" w:eastAsia="Inter" w:hAnsi="Inter"/>
          <w:color w:val="374151"/>
          <w:sz w:val="22"/>
          <w:szCs w:val="22"/>
        </w:rPr>
        <w:t xml:space="preserve">Advisory board formed</w:t>
      </w:r>
    </w:p>
    <w:p>
      <w:pPr>
        <w:pStyle w:val="ListParagraph"/>
        <w:numPr>
          <w:ilvl w:val="0"/>
          <w:numId w:val="2"/>
        </w:numPr>
        <w:spacing w:after="40" w:before="40" w:line="300"/>
      </w:pPr>
      <w:r>
        <w:rPr>
          <w:rFonts w:ascii="Inter" w:cs="Inter" w:eastAsia="Inter" w:hAnsi="Inter"/>
          <w:color w:val="374151"/>
          <w:sz w:val="22"/>
          <w:szCs w:val="22"/>
        </w:rPr>
        <w:t xml:space="preserve">35% EBITDA</w:t>
      </w:r>
    </w:p>
    <w:p>
      <w:pPr>
        <w:spacing w:after="80" w:before="240"/>
      </w:pPr>
      <w:r>
        <w:rPr>
          <w:rFonts w:ascii="Inter" w:cs="Inter" w:eastAsia="Inter" w:hAnsi="Inter"/>
          <w:b/>
          <w:bCs/>
          <w:color w:val="0F3D63"/>
          <w:spacing w:val="60"/>
          <w:sz w:val="20"/>
          <w:szCs w:val="20"/>
        </w:rPr>
        <w:t xml:space="preserve">YEAR 03 · SCALE</w:t>
      </w:r>
    </w:p>
    <w:p>
      <w:pPr>
        <w:pStyle w:val="ListParagraph"/>
        <w:numPr>
          <w:ilvl w:val="0"/>
          <w:numId w:val="2"/>
        </w:numPr>
        <w:spacing w:after="40" w:before="40" w:line="300"/>
      </w:pPr>
      <w:r>
        <w:rPr>
          <w:rFonts w:ascii="Inter" w:cs="Inter" w:eastAsia="Inter" w:hAnsi="Inter"/>
          <w:color w:val="374151"/>
          <w:sz w:val="22"/>
          <w:szCs w:val="22"/>
        </w:rPr>
        <w:t xml:space="preserve">22 retainers across 4 sectors</w:t>
      </w:r>
    </w:p>
    <w:p>
      <w:pPr>
        <w:pStyle w:val="ListParagraph"/>
        <w:numPr>
          <w:ilvl w:val="0"/>
          <w:numId w:val="2"/>
        </w:numPr>
        <w:spacing w:after="40" w:before="40" w:line="300"/>
      </w:pPr>
      <w:r>
        <w:rPr>
          <w:rFonts w:ascii="Inter" w:cs="Inter" w:eastAsia="Inter" w:hAnsi="Inter"/>
          <w:color w:val="374151"/>
          <w:sz w:val="22"/>
          <w:szCs w:val="22"/>
        </w:rPr>
        <w:t xml:space="preserve">Enterprise partnerships</w:t>
      </w:r>
    </w:p>
    <w:p>
      <w:pPr>
        <w:pStyle w:val="ListParagraph"/>
        <w:numPr>
          <w:ilvl w:val="0"/>
          <w:numId w:val="2"/>
        </w:numPr>
        <w:spacing w:after="40" w:before="40" w:line="300"/>
      </w:pPr>
      <w:r>
        <w:rPr>
          <w:rFonts w:ascii="Inter" w:cs="Inter" w:eastAsia="Inter" w:hAnsi="Inter"/>
          <w:color w:val="374151"/>
          <w:sz w:val="22"/>
          <w:szCs w:val="22"/>
        </w:rPr>
        <w:t xml:space="preserve">Proprietary data platform</w:t>
      </w:r>
    </w:p>
    <w:p>
      <w:pPr>
        <w:pStyle w:val="ListParagraph"/>
        <w:numPr>
          <w:ilvl w:val="0"/>
          <w:numId w:val="2"/>
        </w:numPr>
        <w:spacing w:after="40" w:before="40" w:line="300"/>
      </w:pPr>
      <w:r>
        <w:rPr>
          <w:rFonts w:ascii="Inter" w:cs="Inter" w:eastAsia="Inter" w:hAnsi="Inter"/>
          <w:color w:val="374151"/>
          <w:sz w:val="22"/>
          <w:szCs w:val="22"/>
        </w:rPr>
        <w:t xml:space="preserve">40% EBITDA</w:t>
      </w:r>
    </w:p>
    <w:p>
      <w:r>
        <w:br w:type="page"/>
      </w:r>
    </w:p>
    <w:p>
      <w:pPr>
        <w:spacing w:after="40" w:before="40"/>
      </w:pPr>
      <w:r>
        <w:rPr>
          <w:rFonts w:ascii="Inter" w:cs="Inter" w:eastAsia="Inter" w:hAnsi="Inter"/>
          <w:b/>
          <w:bCs/>
          <w:color w:val="C9A24B"/>
          <w:spacing w:val="60"/>
          <w:sz w:val="16"/>
          <w:szCs w:val="16"/>
        </w:rPr>
        <w:t xml:space="preserve">08 · FINANCIAL OUTLOOK</w:t>
      </w:r>
    </w:p>
    <w:p>
      <w:pPr>
        <w:pStyle w:val="Heading2"/>
        <w:spacing w:after="140" w:before="260"/>
      </w:pPr>
      <w:r>
        <w:rPr>
          <w:rFonts w:ascii="Playfair Display" w:cs="Playfair Display" w:eastAsia="Playfair Display" w:hAnsi="Playfair Display"/>
          <w:b w:val="false"/>
          <w:bCs w:val="false"/>
          <w:color w:val="081A33"/>
        </w:rPr>
        <w:t xml:space="preserve">Lean model. Compounding margin.</w:t>
      </w:r>
    </w:p>
    <w:p>
      <w:pPr>
        <w:spacing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tblHeader/>
        </w:trPr>
        <w:tc>
          <w:tcPr>
            <w:tcW w:type="dxa" w:w="3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LINE ITEM</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1</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2</w:t>
            </w:r>
          </w:p>
        </w:tc>
        <w:tc>
          <w:tcPr>
            <w:tcW w:type="dxa" w:w="2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YEAR 3</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Retainer revenue</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£360k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£1.68m</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£3.30m</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Project revenue</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£120k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£420k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£900k</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Total revenue</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£480k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£2.10m</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£4.20m</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Delivery cost</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(£118k)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(£588k)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(£1.18m)</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Operating cost</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(£164k)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(£420k)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(£840k)</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EBITDA</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£198k</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£1.09m</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£2.18m</w:t>
            </w:r>
          </w:p>
        </w:tc>
      </w:tr>
      <w:tr>
        <w:tc>
          <w:tcPr>
            <w:tcW w:type="dxa" w:w="3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EBITDA margin</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41%</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52%</w:t>
            </w:r>
          </w:p>
        </w:tc>
        <w:tc>
          <w:tcPr>
            <w:tcW w:type="dxa" w:w="2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52%</w:t>
            </w:r>
          </w:p>
        </w:tc>
      </w:tr>
    </w:tbl>
    <w:p>
      <w:pPr>
        <w:spacing w:before="3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81A33" w:sz="4"/>
              <w:left w:val="single" w:color="081A33" w:sz="4"/>
              <w:bottom w:val="single" w:color="081A33" w:sz="4"/>
              <w:right w:val="single" w:color="081A33" w:sz="4"/>
            </w:tcBorders>
            <w:shd w:fill="081A33" w:val="clear"/>
            <w:tcMar>
              <w:top w:type="dxa" w:w="300"/>
              <w:left w:type="dxa" w:w="400"/>
              <w:bottom w:type="dxa" w:w="300"/>
              <w:right w:type="dxa" w:w="400"/>
            </w:tcMar>
          </w:tcPr>
          <w:p>
            <w:r>
              <w:rPr>
                <w:rFonts w:ascii="Inter" w:cs="Inter" w:eastAsia="Inter" w:hAnsi="Inter"/>
                <w:b/>
                <w:bCs/>
                <w:color w:val="C9A24B"/>
                <w:spacing w:val="80"/>
                <w:sz w:val="18"/>
                <w:szCs w:val="18"/>
              </w:rPr>
              <w:t xml:space="preserve">CLOSING NOTE</w:t>
            </w:r>
          </w:p>
          <w:p>
            <w:pPr>
              <w:spacing w:before="160"/>
            </w:pPr>
            <w:r>
              <w:rPr>
                <w:rFonts w:ascii="Playfair Display" w:cs="Playfair Display" w:eastAsia="Playfair Display" w:hAnsi="Playfair Display"/>
                <w:i/>
                <w:iCs/>
                <w:color w:val="F5F7FA"/>
                <w:sz w:val="28"/>
                <w:szCs w:val="28"/>
              </w:rPr>
              <w:t xml:space="preserve">In every cycle, the firms that endure are those that decided with intelligence while competitors decided with hope.</w:t>
            </w:r>
          </w:p>
        </w:tc>
      </w:tr>
    </w:tbl>
    <w:p>
      <w:pPr>
        <w:sectPr>
          <w:footerReference w:type="default" r:id="rId8"/>
          <w:pgSz w:w="11906" w:h="16838" w:orient="portrait"/>
          <w:pgMar w:top="1080" w:right="1080" w:bottom="1080" w:left="1080" w:header="708" w:footer="708" w:gutter="0"/>
          <w:pgNumTyp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STRATEGIC PARTNERSHIP PROPOSAL</w:t>
            </w:r>
          </w:p>
          <w:p>
            <w:pPr>
              <w:spacing w:before="240"/>
            </w:pPr>
            <w:r>
              <w:rPr>
                <w:rFonts w:ascii="Playfair Display" w:cs="Playfair Display" w:eastAsia="Playfair Display" w:hAnsi="Playfair Display"/>
                <w:color w:val="F5F7FA"/>
                <w:sz w:val="96"/>
                <w:szCs w:val="96"/>
              </w:rPr>
              <w:t xml:space="preserve">Prepared for</w:t>
            </w:r>
          </w:p>
          <w:p>
            <w:pPr>
              <w:spacing w:before="320"/>
            </w:pPr>
            <w:r>
              <w:rPr>
                <w:rFonts w:ascii="Playfair Display" w:cs="Playfair Display" w:eastAsia="Playfair Display" w:hAnsi="Playfair Display"/>
                <w:i/>
                <w:iCs/>
                <w:color w:val="8FA8C9"/>
                <w:sz w:val="40"/>
                <w:szCs w:val="40"/>
              </w:rPr>
              <w:t xml:space="preserve">[Client Name].</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PREPARED BY OAKWELL CONSULTING LTD   ·   PRINCIPAL [NAME]   ·   PRIVATE &amp; CONFIDENTIAL</w:t>
            </w:r>
          </w:p>
        </w:tc>
      </w:tr>
    </w:tbl>
    <w:p>
      <w:r>
        <w:br w:type="page"/>
      </w:r>
    </w:p>
    <w:p>
      <w:pPr>
        <w:spacing w:after="40" w:before="40"/>
      </w:pPr>
      <w:r>
        <w:rPr>
          <w:rFonts w:ascii="Inter" w:cs="Inter" w:eastAsia="Inter" w:hAnsi="Inter"/>
          <w:b/>
          <w:bCs/>
          <w:color w:val="C9A24B"/>
          <w:spacing w:val="60"/>
          <w:sz w:val="16"/>
          <w:szCs w:val="16"/>
        </w:rPr>
        <w:t xml:space="preserve">01 · CLIENT CHALLENGE</w:t>
      </w:r>
    </w:p>
    <w:p>
      <w:pPr>
        <w:pStyle w:val="Heading2"/>
        <w:spacing w:after="140" w:before="260"/>
      </w:pPr>
      <w:r>
        <w:rPr>
          <w:rFonts w:ascii="Playfair Display" w:cs="Playfair Display" w:eastAsia="Playfair Display" w:hAnsi="Playfair Display"/>
          <w:b w:val="false"/>
          <w:bCs w:val="false"/>
          <w:color w:val="081A33"/>
        </w:rPr>
        <w:t xml:space="preserve">Where [Client Name] is today.</w:t>
      </w:r>
    </w:p>
    <w:p>
      <w:pPr>
        <w:spacing w:after="80" w:before="80" w:line="320"/>
      </w:pPr>
      <w:r>
        <w:rPr>
          <w:rFonts w:ascii="Inter" w:cs="Inter" w:eastAsia="Inter" w:hAnsi="Inter"/>
          <w:color w:val="374151"/>
          <w:sz w:val="22"/>
          <w:szCs w:val="22"/>
        </w:rPr>
        <w:t xml:space="preserve">Based on our initial discussions, [Client Name] is navigating a set of interlinked pressures common to organisations operating at the intersection of rapid market change and elevated stakeholder expectation.</w:t>
      </w:r>
    </w:p>
    <w:p>
      <w:pPr>
        <w:pStyle w:val="ListParagraph"/>
        <w:numPr>
          <w:ilvl w:val="0"/>
          <w:numId w:val="2"/>
        </w:numPr>
        <w:spacing w:after="40" w:before="40" w:line="300"/>
      </w:pPr>
      <w:r>
        <w:rPr>
          <w:rFonts w:ascii="Inter" w:cs="Inter" w:eastAsia="Inter" w:hAnsi="Inter"/>
          <w:color w:val="374151"/>
          <w:sz w:val="22"/>
          <w:szCs w:val="22"/>
        </w:rPr>
        <w:t xml:space="preserve">Fragmented market and consumer intelligence across teams and functions.</w:t>
      </w:r>
    </w:p>
    <w:p>
      <w:pPr>
        <w:pStyle w:val="ListParagraph"/>
        <w:numPr>
          <w:ilvl w:val="0"/>
          <w:numId w:val="2"/>
        </w:numPr>
        <w:spacing w:after="40" w:before="40" w:line="300"/>
      </w:pPr>
      <w:r>
        <w:rPr>
          <w:rFonts w:ascii="Inter" w:cs="Inter" w:eastAsia="Inter" w:hAnsi="Inter"/>
          <w:color w:val="374151"/>
          <w:sz w:val="22"/>
          <w:szCs w:val="22"/>
        </w:rPr>
        <w:t xml:space="preserve">Limited evidence base to support strategic recommendations at board level.</w:t>
      </w:r>
    </w:p>
    <w:p>
      <w:pPr>
        <w:pStyle w:val="ListParagraph"/>
        <w:numPr>
          <w:ilvl w:val="0"/>
          <w:numId w:val="2"/>
        </w:numPr>
        <w:spacing w:after="40" w:before="40" w:line="300"/>
      </w:pPr>
      <w:r>
        <w:rPr>
          <w:rFonts w:ascii="Inter" w:cs="Inter" w:eastAsia="Inter" w:hAnsi="Inter"/>
          <w:color w:val="374151"/>
          <w:sz w:val="22"/>
          <w:szCs w:val="22"/>
        </w:rPr>
        <w:t xml:space="preserve">Difficulty translating existing data assets into actionable strategy.</w:t>
      </w:r>
    </w:p>
    <w:p>
      <w:pPr>
        <w:pStyle w:val="ListParagraph"/>
        <w:numPr>
          <w:ilvl w:val="0"/>
          <w:numId w:val="2"/>
        </w:numPr>
        <w:spacing w:after="40" w:before="40" w:line="300"/>
      </w:pPr>
      <w:r>
        <w:rPr>
          <w:rFonts w:ascii="Inter" w:cs="Inter" w:eastAsia="Inter" w:hAnsi="Inter"/>
          <w:color w:val="374151"/>
          <w:sz w:val="22"/>
          <w:szCs w:val="22"/>
        </w:rPr>
        <w:t xml:space="preserve">Pressure to demonstrate ROI to internal and external stakeholders.</w:t>
      </w:r>
    </w:p>
    <w:p>
      <w:pPr>
        <w:pStyle w:val="ListParagraph"/>
        <w:numPr>
          <w:ilvl w:val="0"/>
          <w:numId w:val="2"/>
        </w:numPr>
        <w:spacing w:after="40" w:before="40" w:line="300"/>
      </w:pPr>
      <w:r>
        <w:rPr>
          <w:rFonts w:ascii="Inter" w:cs="Inter" w:eastAsia="Inter" w:hAnsi="Inter"/>
          <w:color w:val="374151"/>
          <w:sz w:val="22"/>
          <w:szCs w:val="22"/>
        </w:rPr>
        <w:t xml:space="preserve">Rapidly evolving market dynamics and audience behaviour.</w:t>
      </w:r>
    </w:p>
    <w:p>
      <w:pPr>
        <w:spacing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rPr>
          <w:tblHeader/>
        </w:trPr>
        <w:tc>
          <w:tcPr>
            <w:tcW w:type="dxa" w:w="6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ASSESSMENT</w:t>
            </w:r>
          </w:p>
        </w:tc>
        <w:tc>
          <w:tcPr>
            <w:tcW w:type="dxa" w:w="3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SCORE</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Business impact</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 / 10</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Strategic value</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8 / 10</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Expected outcome</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9 / 10</w:t>
            </w:r>
          </w:p>
        </w:tc>
      </w:tr>
    </w:tbl>
    <w:p>
      <w:r>
        <w:br w:type="page"/>
      </w:r>
    </w:p>
    <w:p>
      <w:pPr>
        <w:spacing w:after="40" w:before="40"/>
      </w:pPr>
      <w:r>
        <w:rPr>
          <w:rFonts w:ascii="Inter" w:cs="Inter" w:eastAsia="Inter" w:hAnsi="Inter"/>
          <w:b/>
          <w:bCs/>
          <w:color w:val="C9A24B"/>
          <w:spacing w:val="60"/>
          <w:sz w:val="16"/>
          <w:szCs w:val="16"/>
        </w:rPr>
        <w:t xml:space="preserve">02 · RECOMMENDED APPROACH</w:t>
      </w:r>
    </w:p>
    <w:p>
      <w:pPr>
        <w:pStyle w:val="Heading2"/>
        <w:spacing w:after="140" w:before="260"/>
      </w:pPr>
      <w:r>
        <w:rPr>
          <w:rFonts w:ascii="Playfair Display" w:cs="Playfair Display" w:eastAsia="Playfair Display" w:hAnsi="Playfair Display"/>
          <w:b w:val="false"/>
          <w:bCs w:val="false"/>
          <w:color w:val="081A33"/>
        </w:rPr>
        <w:t xml:space="preserve">A four-stream intelligence engagement.</w:t>
      </w:r>
    </w:p>
    <w:p>
      <w:pPr>
        <w:spacing w:after="40" w:before="200"/>
      </w:pPr>
      <w:r>
        <w:rPr>
          <w:rFonts w:ascii="Inter" w:cs="Inter" w:eastAsia="Inter" w:hAnsi="Inter"/>
          <w:b/>
          <w:bCs/>
          <w:color w:val="C9A24B"/>
          <w:spacing w:val="60"/>
          <w:sz w:val="20"/>
          <w:szCs w:val="20"/>
        </w:rPr>
        <w:t xml:space="preserve">STREAM 01 · MARKET &amp; BUSINESS RESEARCH</w:t>
      </w:r>
    </w:p>
    <w:p>
      <w:pPr>
        <w:spacing w:after="80" w:before="80" w:line="320"/>
      </w:pPr>
      <w:r>
        <w:rPr>
          <w:rFonts w:ascii="Inter" w:cs="Inter" w:eastAsia="Inter" w:hAnsi="Inter"/>
          <w:color w:val="374151"/>
          <w:sz w:val="22"/>
          <w:szCs w:val="22"/>
        </w:rPr>
        <w:t xml:space="preserve">Market conditions, competitive landscape, category trends, growth pockets.</w:t>
      </w:r>
    </w:p>
    <w:p>
      <w:pPr>
        <w:spacing w:after="40" w:before="200"/>
      </w:pPr>
      <w:r>
        <w:rPr>
          <w:rFonts w:ascii="Inter" w:cs="Inter" w:eastAsia="Inter" w:hAnsi="Inter"/>
          <w:b/>
          <w:bCs/>
          <w:color w:val="C9A24B"/>
          <w:spacing w:val="60"/>
          <w:sz w:val="20"/>
          <w:szCs w:val="20"/>
        </w:rPr>
        <w:t xml:space="preserve">STREAM 02 · CONSUMER &amp; AUDIENCE INSIGHT</w:t>
      </w:r>
    </w:p>
    <w:p>
      <w:pPr>
        <w:spacing w:after="80" w:before="80" w:line="320"/>
      </w:pPr>
      <w:r>
        <w:rPr>
          <w:rFonts w:ascii="Inter" w:cs="Inter" w:eastAsia="Inter" w:hAnsi="Inter"/>
          <w:color w:val="374151"/>
          <w:sz w:val="22"/>
          <w:szCs w:val="22"/>
        </w:rPr>
        <w:t xml:space="preserve">Segmentation, attitudinal analysis, behavioural signals, journey mapping.</w:t>
      </w:r>
    </w:p>
    <w:p>
      <w:pPr>
        <w:spacing w:after="40" w:before="200"/>
      </w:pPr>
      <w:r>
        <w:rPr>
          <w:rFonts w:ascii="Inter" w:cs="Inter" w:eastAsia="Inter" w:hAnsi="Inter"/>
          <w:b/>
          <w:bCs/>
          <w:color w:val="C9A24B"/>
          <w:spacing w:val="60"/>
          <w:sz w:val="20"/>
          <w:szCs w:val="20"/>
        </w:rPr>
        <w:t xml:space="preserve">STREAM 03 · PERFORMANCE &amp; EFFECTIVENESS</w:t>
      </w:r>
    </w:p>
    <w:p>
      <w:pPr>
        <w:spacing w:after="80" w:before="80" w:line="320"/>
      </w:pPr>
      <w:r>
        <w:rPr>
          <w:rFonts w:ascii="Inter" w:cs="Inter" w:eastAsia="Inter" w:hAnsi="Inter"/>
          <w:color w:val="374151"/>
          <w:sz w:val="22"/>
          <w:szCs w:val="22"/>
        </w:rPr>
        <w:t xml:space="preserve">Campaign, channel, and portfolio performance interpretation.</w:t>
      </w:r>
    </w:p>
    <w:p>
      <w:pPr>
        <w:spacing w:after="40" w:before="200"/>
      </w:pPr>
      <w:r>
        <w:rPr>
          <w:rFonts w:ascii="Inter" w:cs="Inter" w:eastAsia="Inter" w:hAnsi="Inter"/>
          <w:b/>
          <w:bCs/>
          <w:color w:val="C9A24B"/>
          <w:spacing w:val="60"/>
          <w:sz w:val="20"/>
          <w:szCs w:val="20"/>
        </w:rPr>
        <w:t xml:space="preserve">STREAM 04 · RESEARCH-LED ADVISORY</w:t>
      </w:r>
    </w:p>
    <w:p>
      <w:pPr>
        <w:spacing w:after="80" w:before="80" w:line="320"/>
      </w:pPr>
      <w:r>
        <w:rPr>
          <w:rFonts w:ascii="Inter" w:cs="Inter" w:eastAsia="Inter" w:hAnsi="Inter"/>
          <w:color w:val="374151"/>
          <w:sz w:val="22"/>
          <w:szCs w:val="22"/>
        </w:rPr>
        <w:t xml:space="preserve">Strategic interpretation, board-ready recommendations, decision facilitation.</w:t>
      </w:r>
    </w:p>
    <w:p>
      <w:r>
        <w:br w:type="page"/>
      </w:r>
    </w:p>
    <w:p>
      <w:pPr>
        <w:spacing w:after="40" w:before="40"/>
      </w:pPr>
      <w:r>
        <w:rPr>
          <w:rFonts w:ascii="Inter" w:cs="Inter" w:eastAsia="Inter" w:hAnsi="Inter"/>
          <w:b/>
          <w:bCs/>
          <w:color w:val="C9A24B"/>
          <w:spacing w:val="60"/>
          <w:sz w:val="16"/>
          <w:szCs w:val="16"/>
        </w:rPr>
        <w:t xml:space="preserve">03 · STRATEGIC METHODOLOGY</w:t>
      </w:r>
    </w:p>
    <w:p>
      <w:pPr>
        <w:pStyle w:val="Heading2"/>
        <w:spacing w:after="140" w:before="260"/>
      </w:pPr>
      <w:r>
        <w:rPr>
          <w:rFonts w:ascii="Playfair Display" w:cs="Playfair Display" w:eastAsia="Playfair Display" w:hAnsi="Playfair Display"/>
          <w:b w:val="false"/>
          <w:bCs w:val="false"/>
          <w:color w:val="081A33"/>
        </w:rPr>
        <w:t xml:space="preserve">The Signal™ method.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60"/>
        <w:gridCol w:w="7000"/>
      </w:tblGrid>
      <w:tr>
        <w:trPr>
          <w:tblHeader/>
        </w:trPr>
        <w:tc>
          <w:tcPr>
            <w:tcW w:type="dxa" w:w="2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PHASE</w:t>
            </w:r>
          </w:p>
        </w:tc>
        <w:tc>
          <w:tcPr>
            <w:tcW w:type="dxa" w:w="7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FOCUS</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01 · Frame</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Objectives, hypotheses, decision context.</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02 · Gather</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Primary + secondary evidence across four streams.</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03 · Synthesise</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Signal extraction, framework mapping, sizing.</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04 · Advise</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Board-ready brief, recommendations, next moves.</w:t>
            </w:r>
          </w:p>
        </w:tc>
      </w:tr>
    </w:tbl>
    <w:p>
      <w:pPr>
        <w:spacing w:before="320"/>
      </w:pPr>
    </w:p>
    <w:p>
      <w:pPr>
        <w:spacing w:after="40" w:before="40"/>
      </w:pPr>
      <w:r>
        <w:rPr>
          <w:rFonts w:ascii="Inter" w:cs="Inter" w:eastAsia="Inter" w:hAnsi="Inter"/>
          <w:b/>
          <w:bCs/>
          <w:color w:val="C9A24B"/>
          <w:spacing w:val="60"/>
          <w:sz w:val="16"/>
          <w:szCs w:val="16"/>
        </w:rPr>
        <w:t xml:space="preserve">04 · PROJECT ROADMAP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60"/>
        <w:gridCol w:w="7000"/>
      </w:tblGrid>
      <w:tr>
        <w:trPr>
          <w:tblHeader/>
        </w:trPr>
        <w:tc>
          <w:tcPr>
            <w:tcW w:type="dxa" w:w="2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TIMELINE</w:t>
            </w:r>
          </w:p>
        </w:tc>
        <w:tc>
          <w:tcPr>
            <w:tcW w:type="dxa" w:w="7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MILESTONE</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Week 0</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Kick-off</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Weeks 1–2</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Fieldwork</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Weeks 3–5</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Analysis</w:t>
            </w:r>
          </w:p>
        </w:tc>
      </w:tr>
      <w:tr>
        <w:tc>
          <w:tcPr>
            <w:tcW w:type="dxa" w:w="2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Week 6</w:t>
            </w:r>
          </w:p>
        </w:tc>
        <w:tc>
          <w:tcPr>
            <w:tcW w:type="dxa" w:w="7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Board brief</w:t>
            </w:r>
          </w:p>
        </w:tc>
      </w:tr>
    </w:tbl>
    <w:p>
      <w:r>
        <w:br w:type="page"/>
      </w:r>
    </w:p>
    <w:p>
      <w:pPr>
        <w:spacing w:after="40" w:before="40"/>
      </w:pPr>
      <w:r>
        <w:rPr>
          <w:rFonts w:ascii="Inter" w:cs="Inter" w:eastAsia="Inter" w:hAnsi="Inter"/>
          <w:b/>
          <w:bCs/>
          <w:color w:val="C9A24B"/>
          <w:spacing w:val="60"/>
          <w:sz w:val="16"/>
          <w:szCs w:val="16"/>
        </w:rPr>
        <w:t xml:space="preserve">05 · DELIVERABLES</w:t>
      </w:r>
    </w:p>
    <w:p>
      <w:pPr>
        <w:pStyle w:val="Heading2"/>
        <w:spacing w:after="140" w:before="260"/>
      </w:pPr>
      <w:r>
        <w:rPr>
          <w:rFonts w:ascii="Playfair Display" w:cs="Playfair Display" w:eastAsia="Playfair Display" w:hAnsi="Playfair Display"/>
          <w:b w:val="false"/>
          <w:bCs w:val="false"/>
          <w:color w:val="081A33"/>
        </w:rPr>
        <w:t xml:space="preserve">What you will receive.</w:t>
      </w:r>
    </w:p>
    <w:p>
      <w:pPr>
        <w:spacing w:after="40" w:before="200"/>
      </w:pPr>
      <w:r>
        <w:rPr>
          <w:rFonts w:ascii="Playfair Display" w:cs="Playfair Display" w:eastAsia="Playfair Display" w:hAnsi="Playfair Display"/>
          <w:color w:val="081A33"/>
          <w:sz w:val="28"/>
          <w:szCs w:val="28"/>
        </w:rPr>
        <w:t xml:space="preserve">Insight Report</w:t>
      </w:r>
    </w:p>
    <w:p>
      <w:pPr>
        <w:spacing w:after="80" w:before="80" w:line="320"/>
      </w:pPr>
      <w:r>
        <w:rPr>
          <w:rFonts w:ascii="Inter" w:cs="Inter" w:eastAsia="Inter" w:hAnsi="Inter"/>
          <w:color w:val="374151"/>
          <w:sz w:val="22"/>
          <w:szCs w:val="22"/>
        </w:rPr>
        <w:t xml:space="preserve">Structured written report — findings, insight, implications.</w:t>
      </w:r>
    </w:p>
    <w:p>
      <w:pPr>
        <w:spacing w:after="40" w:before="200"/>
      </w:pPr>
      <w:r>
        <w:rPr>
          <w:rFonts w:ascii="Playfair Display" w:cs="Playfair Display" w:eastAsia="Playfair Display" w:hAnsi="Playfair Display"/>
          <w:color w:val="081A33"/>
          <w:sz w:val="28"/>
          <w:szCs w:val="28"/>
        </w:rPr>
        <w:t xml:space="preserve">Executive Deck</w:t>
      </w:r>
    </w:p>
    <w:p>
      <w:pPr>
        <w:spacing w:after="80" w:before="80" w:line="320"/>
      </w:pPr>
      <w:r>
        <w:rPr>
          <w:rFonts w:ascii="Inter" w:cs="Inter" w:eastAsia="Inter" w:hAnsi="Inter"/>
          <w:color w:val="374151"/>
          <w:sz w:val="22"/>
          <w:szCs w:val="22"/>
        </w:rPr>
        <w:t xml:space="preserve">Board-ready presentation for internal alignment.</w:t>
      </w:r>
    </w:p>
    <w:p>
      <w:pPr>
        <w:spacing w:after="40" w:before="200"/>
      </w:pPr>
      <w:r>
        <w:rPr>
          <w:rFonts w:ascii="Playfair Display" w:cs="Playfair Display" w:eastAsia="Playfair Display" w:hAnsi="Playfair Display"/>
          <w:color w:val="081A33"/>
          <w:sz w:val="28"/>
          <w:szCs w:val="28"/>
        </w:rPr>
        <w:t xml:space="preserve">Strategic Actions</w:t>
      </w:r>
    </w:p>
    <w:p>
      <w:pPr>
        <w:spacing w:after="80" w:before="80" w:line="320"/>
      </w:pPr>
      <w:r>
        <w:rPr>
          <w:rFonts w:ascii="Inter" w:cs="Inter" w:eastAsia="Inter" w:hAnsi="Inter"/>
          <w:color w:val="374151"/>
          <w:sz w:val="22"/>
          <w:szCs w:val="22"/>
        </w:rPr>
        <w:t xml:space="preserve">Prioritised recommendations with owner and horizon.</w:t>
      </w:r>
    </w:p>
    <w:p>
      <w:pPr>
        <w:spacing w:before="320"/>
      </w:pPr>
    </w:p>
    <w:p>
      <w:pPr>
        <w:spacing w:after="40" w:before="40"/>
      </w:pPr>
      <w:r>
        <w:rPr>
          <w:rFonts w:ascii="Inter" w:cs="Inter" w:eastAsia="Inter" w:hAnsi="Inter"/>
          <w:b/>
          <w:bCs/>
          <w:color w:val="C9A24B"/>
          <w:spacing w:val="60"/>
          <w:sz w:val="16"/>
          <w:szCs w:val="16"/>
        </w:rPr>
        <w:t xml:space="preserve">06 · INVESTMENT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360"/>
        <w:gridCol w:w="2500"/>
        <w:gridCol w:w="2500"/>
      </w:tblGrid>
      <w:tr>
        <w:trPr>
          <w:tblHeader/>
        </w:trPr>
        <w:tc>
          <w:tcPr>
            <w:tcW w:type="dxa" w:w="4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ENGAGEMENT</w:t>
            </w:r>
          </w:p>
        </w:tc>
        <w:tc>
          <w:tcPr>
            <w:tcW w:type="dxa" w:w="25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STRUCTURE</w:t>
            </w:r>
          </w:p>
        </w:tc>
        <w:tc>
          <w:tcPr>
            <w:tcW w:type="dxa" w:w="25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INVESTMENT</w:t>
            </w:r>
          </w:p>
        </w:tc>
      </w:tr>
      <w:tr>
        <w:tc>
          <w:tcPr>
            <w:tcW w:type="dxa" w:w="4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Discovery sprint</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Fixed fee</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£8,500</w:t>
            </w:r>
          </w:p>
        </w:tc>
      </w:tr>
      <w:tr>
        <w:tc>
          <w:tcPr>
            <w:tcW w:type="dxa" w:w="4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Signal™ engagement</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Milestone</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£42,000</w:t>
            </w:r>
          </w:p>
        </w:tc>
      </w:tr>
      <w:tr>
        <w:tc>
          <w:tcPr>
            <w:tcW w:type="dxa" w:w="4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Advisory retainer</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Monthly</w:t>
            </w:r>
          </w:p>
        </w:tc>
        <w:tc>
          <w:tcPr>
            <w:tcW w:type="dxa" w:w="25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£12,000/mo</w:t>
            </w:r>
          </w:p>
        </w:tc>
      </w:tr>
    </w:tbl>
    <w:p>
      <w:pPr>
        <w:spacing w:before="120"/>
      </w:pPr>
      <w:r>
        <w:rPr>
          <w:rFonts w:ascii="Inter" w:cs="Inter" w:eastAsia="Inter" w:hAnsi="Inter"/>
          <w:i/>
          <w:iCs/>
          <w:color w:val="475569"/>
          <w:sz w:val="18"/>
          <w:szCs w:val="18"/>
        </w:rPr>
        <w:t xml:space="preserve">All fees are exclusive of applicable taxes and invoiced per the agreed schedule.</w:t>
      </w:r>
    </w:p>
    <w:p>
      <w:pPr>
        <w:spacing w:before="320"/>
      </w:pPr>
    </w:p>
    <w:p>
      <w:pPr>
        <w:spacing w:after="40" w:before="40"/>
      </w:pPr>
      <w:r>
        <w:rPr>
          <w:rFonts w:ascii="Inter" w:cs="Inter" w:eastAsia="Inter" w:hAnsi="Inter"/>
          <w:b/>
          <w:bCs/>
          <w:color w:val="C9A24B"/>
          <w:spacing w:val="60"/>
          <w:sz w:val="16"/>
          <w:szCs w:val="16"/>
        </w:rPr>
        <w:t xml:space="preserve">07 · PARTNERSHIP BENEFITS</w:t>
      </w:r>
    </w:p>
    <w:p>
      <w:pPr>
        <w:pStyle w:val="ListParagraph"/>
        <w:numPr>
          <w:ilvl w:val="0"/>
          <w:numId w:val="2"/>
        </w:numPr>
        <w:spacing w:after="40" w:before="40" w:line="300"/>
      </w:pPr>
      <w:r>
        <w:rPr>
          <w:rFonts w:ascii="Inter" w:cs="Inter" w:eastAsia="Inter" w:hAnsi="Inter"/>
          <w:color w:val="374151"/>
          <w:sz w:val="22"/>
          <w:szCs w:val="22"/>
        </w:rPr>
        <w:t xml:space="preserve">Senior-only delivery.</w:t>
      </w:r>
    </w:p>
    <w:p>
      <w:pPr>
        <w:pStyle w:val="ListParagraph"/>
        <w:numPr>
          <w:ilvl w:val="0"/>
          <w:numId w:val="2"/>
        </w:numPr>
        <w:spacing w:after="40" w:before="40" w:line="300"/>
      </w:pPr>
      <w:r>
        <w:rPr>
          <w:rFonts w:ascii="Inter" w:cs="Inter" w:eastAsia="Inter" w:hAnsi="Inter"/>
          <w:color w:val="374151"/>
          <w:sz w:val="22"/>
          <w:szCs w:val="22"/>
        </w:rPr>
        <w:t xml:space="preserve">Independent perspective.</w:t>
      </w:r>
    </w:p>
    <w:p>
      <w:pPr>
        <w:pStyle w:val="ListParagraph"/>
        <w:numPr>
          <w:ilvl w:val="0"/>
          <w:numId w:val="2"/>
        </w:numPr>
        <w:spacing w:after="40" w:before="40" w:line="300"/>
      </w:pPr>
      <w:r>
        <w:rPr>
          <w:rFonts w:ascii="Inter" w:cs="Inter" w:eastAsia="Inter" w:hAnsi="Inter"/>
          <w:color w:val="374151"/>
          <w:sz w:val="22"/>
          <w:szCs w:val="22"/>
        </w:rPr>
        <w:t xml:space="preserve">Board-ready outputs.</w:t>
      </w:r>
    </w:p>
    <w:p>
      <w:pPr>
        <w:pStyle w:val="ListParagraph"/>
        <w:numPr>
          <w:ilvl w:val="0"/>
          <w:numId w:val="2"/>
        </w:numPr>
        <w:spacing w:after="40" w:before="40" w:line="300"/>
      </w:pPr>
      <w:r>
        <w:rPr>
          <w:rFonts w:ascii="Inter" w:cs="Inter" w:eastAsia="Inter" w:hAnsi="Inter"/>
          <w:color w:val="374151"/>
          <w:sz w:val="22"/>
          <w:szCs w:val="22"/>
        </w:rPr>
        <w:t xml:space="preserve">Retainer priority access.</w:t>
      </w:r>
    </w:p>
    <w:p>
      <w:pPr>
        <w:pStyle w:val="ListParagraph"/>
        <w:numPr>
          <w:ilvl w:val="0"/>
          <w:numId w:val="2"/>
        </w:numPr>
        <w:spacing w:after="40" w:before="40" w:line="300"/>
      </w:pPr>
      <w:r>
        <w:rPr>
          <w:rFonts w:ascii="Inter" w:cs="Inter" w:eastAsia="Inter" w:hAnsi="Inter"/>
          <w:color w:val="374151"/>
          <w:sz w:val="22"/>
          <w:szCs w:val="22"/>
        </w:rPr>
        <w:t xml:space="preserve">Proprietary Signal™ frameworks.</w:t>
      </w:r>
    </w:p>
    <w:p>
      <w:pPr>
        <w:pStyle w:val="ListParagraph"/>
        <w:numPr>
          <w:ilvl w:val="0"/>
          <w:numId w:val="2"/>
        </w:numPr>
        <w:spacing w:after="40" w:before="40" w:line="300"/>
      </w:pPr>
      <w:r>
        <w:rPr>
          <w:rFonts w:ascii="Inter" w:cs="Inter" w:eastAsia="Inter" w:hAnsi="Inter"/>
          <w:color w:val="374151"/>
          <w:sz w:val="22"/>
          <w:szCs w:val="22"/>
        </w:rPr>
        <w:t xml:space="preserve">Cross-sector benchmarks.</w:t>
      </w:r>
    </w:p>
    <w:p>
      <w:r>
        <w:br w:type="page"/>
      </w:r>
    </w:p>
    <w:p>
      <w:pPr>
        <w:spacing w:after="40" w:before="40"/>
      </w:pPr>
      <w:r>
        <w:rPr>
          <w:rFonts w:ascii="Inter" w:cs="Inter" w:eastAsia="Inter" w:hAnsi="Inter"/>
          <w:b/>
          <w:bCs/>
          <w:color w:val="C9A24B"/>
          <w:spacing w:val="60"/>
          <w:sz w:val="16"/>
          <w:szCs w:val="16"/>
        </w:rPr>
        <w:t xml:space="preserve">08 · ACCEPTANCE</w:t>
      </w:r>
    </w:p>
    <w:p>
      <w:pPr>
        <w:pStyle w:val="Heading2"/>
        <w:spacing w:after="140" w:before="260"/>
      </w:pPr>
      <w:r>
        <w:rPr>
          <w:rFonts w:ascii="Playfair Display" w:cs="Playfair Display" w:eastAsia="Playfair Display" w:hAnsi="Playfair Display"/>
          <w:b w:val="false"/>
          <w:bCs w:val="false"/>
          <w:color w:val="081A33"/>
        </w:rPr>
        <w:t xml:space="preserve">Confirming the engagement.</w:t>
      </w:r>
    </w:p>
    <w:p>
      <w:pPr>
        <w:spacing w:after="80" w:before="80" w:line="320"/>
      </w:pPr>
      <w:r>
        <w:rPr>
          <w:rFonts w:ascii="Inter" w:cs="Inter" w:eastAsia="Inter" w:hAnsi="Inter"/>
          <w:color w:val="374151"/>
          <w:sz w:val="22"/>
          <w:szCs w:val="22"/>
        </w:rPr>
        <w:t xml:space="preserve">By accepting this proposal, the Client agrees to engage Oakwell Consulting Ltd under the terms outlined herein, read alongside the Terms &amp; Conditions and Service Level Agreement.</w:t>
      </w:r>
    </w:p>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ACCEPTED FOR AND ON BEHALF OF THE CLIENT</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ACCEPTED FOR AND ON BEHALF OF OAKWELL CONSULTING LTD</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r>
    </w:tbl>
    <w:p>
      <w:pPr>
        <w:sectPr>
          <w:footerReference w:type="default" r:id="rId9"/>
          <w:pgSz w:w="11906" w:h="16838" w:orient="portrait"/>
          <w:pgMar w:top="1080" w:right="1080" w:bottom="1080" w:left="1080" w:header="708" w:footer="708" w:gutter="0"/>
          <w:pgNumTyp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ADVISORY CATALOGUE · 2026</w:t>
            </w:r>
          </w:p>
          <w:p>
            <w:pPr>
              <w:spacing w:before="240"/>
            </w:pPr>
            <w:r>
              <w:rPr>
                <w:rFonts w:ascii="Playfair Display" w:cs="Playfair Display" w:eastAsia="Playfair Display" w:hAnsi="Playfair Display"/>
                <w:color w:val="F5F7FA"/>
                <w:sz w:val="96"/>
                <w:szCs w:val="96"/>
              </w:rPr>
              <w:t xml:space="preserve">The Advisory</w:t>
            </w:r>
          </w:p>
          <w:p>
            <w:pPr>
              <w:spacing w:before="320"/>
            </w:pPr>
            <w:r>
              <w:rPr>
                <w:rFonts w:ascii="Playfair Display" w:cs="Playfair Display" w:eastAsia="Playfair Display" w:hAnsi="Playfair Display"/>
                <w:i/>
                <w:iCs/>
                <w:color w:val="8FA8C9"/>
                <w:sz w:val="40"/>
                <w:szCs w:val="40"/>
              </w:rPr>
              <w:t xml:space="preserve">Catalogue.</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SERVICES &amp; ENGAGEMENT MODELS   ·   OAKWELL CONSULTING LTD   ·   2026</w:t>
            </w:r>
          </w:p>
        </w:tc>
      </w:tr>
    </w:tbl>
    <w:p>
      <w:r>
        <w:br w:type="page"/>
      </w:r>
    </w:p>
    <w:p>
      <w:pPr>
        <w:spacing w:after="40" w:before="40"/>
      </w:pPr>
      <w:r>
        <w:rPr>
          <w:rFonts w:ascii="Inter" w:cs="Inter" w:eastAsia="Inter" w:hAnsi="Inter"/>
          <w:b/>
          <w:bCs/>
          <w:color w:val="C9A24B"/>
          <w:spacing w:val="60"/>
          <w:sz w:val="16"/>
          <w:szCs w:val="16"/>
        </w:rPr>
        <w:t xml:space="preserve">WHO WE HELP</w:t>
      </w:r>
    </w:p>
    <w:p>
      <w:pPr>
        <w:pStyle w:val="ListParagraph"/>
        <w:numPr>
          <w:ilvl w:val="0"/>
          <w:numId w:val="2"/>
        </w:numPr>
        <w:spacing w:after="40" w:before="40" w:line="300"/>
      </w:pPr>
      <w:r>
        <w:rPr>
          <w:rFonts w:ascii="Inter" w:cs="Inter" w:eastAsia="Inter" w:hAnsi="Inter"/>
          <w:color w:val="374151"/>
          <w:sz w:val="22"/>
          <w:szCs w:val="22"/>
        </w:rPr>
        <w:t xml:space="preserve">Boards of £25m–£1bn UK enterprises.</w:t>
      </w:r>
    </w:p>
    <w:p>
      <w:pPr>
        <w:pStyle w:val="ListParagraph"/>
        <w:numPr>
          <w:ilvl w:val="0"/>
          <w:numId w:val="2"/>
        </w:numPr>
        <w:spacing w:after="40" w:before="40" w:line="300"/>
      </w:pPr>
      <w:r>
        <w:rPr>
          <w:rFonts w:ascii="Inter" w:cs="Inter" w:eastAsia="Inter" w:hAnsi="Inter"/>
          <w:color w:val="374151"/>
          <w:sz w:val="22"/>
          <w:szCs w:val="22"/>
        </w:rPr>
        <w:t xml:space="preserve">Executive committees at inflection points.</w:t>
      </w:r>
    </w:p>
    <w:p>
      <w:pPr>
        <w:pStyle w:val="ListParagraph"/>
        <w:numPr>
          <w:ilvl w:val="0"/>
          <w:numId w:val="2"/>
        </w:numPr>
        <w:spacing w:after="40" w:before="40" w:line="300"/>
      </w:pPr>
      <w:r>
        <w:rPr>
          <w:rFonts w:ascii="Inter" w:cs="Inter" w:eastAsia="Inter" w:hAnsi="Inter"/>
          <w:color w:val="374151"/>
          <w:sz w:val="22"/>
          <w:szCs w:val="22"/>
        </w:rPr>
        <w:t xml:space="preserve">Investment committees pre-commitment.</w:t>
      </w:r>
    </w:p>
    <w:p>
      <w:pPr>
        <w:spacing w:after="40" w:before="40"/>
      </w:pPr>
      <w:r>
        <w:rPr>
          <w:rFonts w:ascii="Inter" w:cs="Inter" w:eastAsia="Inter" w:hAnsi="Inter"/>
          <w:b/>
          <w:bCs/>
          <w:color w:val="C9A24B"/>
          <w:spacing w:val="60"/>
          <w:sz w:val="16"/>
          <w:szCs w:val="16"/>
        </w:rPr>
        <w:t xml:space="preserve">HOW WE CREATE VALUE</w:t>
      </w:r>
    </w:p>
    <w:p>
      <w:pPr>
        <w:pStyle w:val="ListParagraph"/>
        <w:numPr>
          <w:ilvl w:val="0"/>
          <w:numId w:val="2"/>
        </w:numPr>
        <w:spacing w:after="40" w:before="40" w:line="300"/>
      </w:pPr>
      <w:r>
        <w:rPr>
          <w:rFonts w:ascii="Inter" w:cs="Inter" w:eastAsia="Inter" w:hAnsi="Inter"/>
          <w:color w:val="374151"/>
          <w:sz w:val="22"/>
          <w:szCs w:val="22"/>
        </w:rPr>
        <w:t xml:space="preserve">Reduce the cost of being wrong.</w:t>
      </w:r>
    </w:p>
    <w:p>
      <w:pPr>
        <w:pStyle w:val="ListParagraph"/>
        <w:numPr>
          <w:ilvl w:val="0"/>
          <w:numId w:val="2"/>
        </w:numPr>
        <w:spacing w:after="40" w:before="40" w:line="300"/>
      </w:pPr>
      <w:r>
        <w:rPr>
          <w:rFonts w:ascii="Inter" w:cs="Inter" w:eastAsia="Inter" w:hAnsi="Inter"/>
          <w:color w:val="374151"/>
          <w:sz w:val="22"/>
          <w:szCs w:val="22"/>
        </w:rPr>
        <w:t xml:space="preserve">Compress time-to-decision.</w:t>
      </w:r>
    </w:p>
    <w:p>
      <w:pPr>
        <w:pStyle w:val="ListParagraph"/>
        <w:numPr>
          <w:ilvl w:val="0"/>
          <w:numId w:val="2"/>
        </w:numPr>
        <w:spacing w:after="40" w:before="40" w:line="300"/>
      </w:pPr>
      <w:r>
        <w:rPr>
          <w:rFonts w:ascii="Inter" w:cs="Inter" w:eastAsia="Inter" w:hAnsi="Inter"/>
          <w:color w:val="374151"/>
          <w:sz w:val="22"/>
          <w:szCs w:val="22"/>
        </w:rPr>
        <w:t xml:space="preserve">Elevate the quality of strategic conversation.</w:t>
      </w:r>
    </w:p>
    <w:p>
      <w:pPr>
        <w:spacing w:after="40" w:before="40"/>
      </w:pPr>
      <w:r>
        <w:rPr>
          <w:rFonts w:ascii="Inter" w:cs="Inter" w:eastAsia="Inter" w:hAnsi="Inter"/>
          <w:b/>
          <w:bCs/>
          <w:color w:val="C9A24B"/>
          <w:spacing w:val="60"/>
          <w:sz w:val="16"/>
          <w:szCs w:val="16"/>
        </w:rPr>
        <w:t xml:space="preserve">OUR CONSULTING METHOD</w:t>
      </w:r>
    </w:p>
    <w:p>
      <w:pPr>
        <w:pStyle w:val="ListParagraph"/>
        <w:numPr>
          <w:ilvl w:val="0"/>
          <w:numId w:val="2"/>
        </w:numPr>
        <w:spacing w:after="40" w:before="40" w:line="300"/>
      </w:pPr>
      <w:r>
        <w:rPr>
          <w:rFonts w:ascii="Inter" w:cs="Inter" w:eastAsia="Inter" w:hAnsi="Inter"/>
          <w:color w:val="374151"/>
          <w:sz w:val="22"/>
          <w:szCs w:val="22"/>
        </w:rPr>
        <w:t xml:space="preserve">Signal™ four-stream framework.</w:t>
      </w:r>
    </w:p>
    <w:p>
      <w:pPr>
        <w:pStyle w:val="ListParagraph"/>
        <w:numPr>
          <w:ilvl w:val="0"/>
          <w:numId w:val="2"/>
        </w:numPr>
        <w:spacing w:after="40" w:before="40" w:line="300"/>
      </w:pPr>
      <w:r>
        <w:rPr>
          <w:rFonts w:ascii="Inter" w:cs="Inter" w:eastAsia="Inter" w:hAnsi="Inter"/>
          <w:color w:val="374151"/>
          <w:sz w:val="22"/>
          <w:szCs w:val="22"/>
        </w:rPr>
        <w:t xml:space="preserve">Senior-only delivery pods.</w:t>
      </w:r>
    </w:p>
    <w:p>
      <w:pPr>
        <w:pStyle w:val="ListParagraph"/>
        <w:numPr>
          <w:ilvl w:val="0"/>
          <w:numId w:val="2"/>
        </w:numPr>
        <w:spacing w:after="40" w:before="40" w:line="300"/>
      </w:pPr>
      <w:r>
        <w:rPr>
          <w:rFonts w:ascii="Inter" w:cs="Inter" w:eastAsia="Inter" w:hAnsi="Inter"/>
          <w:color w:val="374151"/>
          <w:sz w:val="22"/>
          <w:szCs w:val="22"/>
        </w:rPr>
        <w:t xml:space="preserve">Board-ready outputs, not workshops.</w:t>
      </w:r>
    </w:p>
    <w:p>
      <w:r>
        <w:br w:type="page"/>
      </w:r>
    </w:p>
    <w:p>
      <w:pPr>
        <w:spacing w:after="40" w:before="40"/>
      </w:pPr>
      <w:r>
        <w:rPr>
          <w:rFonts w:ascii="Inter" w:cs="Inter" w:eastAsia="Inter" w:hAnsi="Inter"/>
          <w:b/>
          <w:bCs/>
          <w:color w:val="C9A24B"/>
          <w:spacing w:val="60"/>
          <w:sz w:val="16"/>
          <w:szCs w:val="16"/>
        </w:rPr>
        <w:t xml:space="preserve">ENGAGEMENT MODELS</w:t>
      </w:r>
    </w:p>
    <w:p>
      <w:pPr>
        <w:pStyle w:val="Heading2"/>
        <w:spacing w:after="140" w:before="260"/>
      </w:pPr>
      <w:r>
        <w:rPr>
          <w:rFonts w:ascii="Playfair Display" w:cs="Playfair Display" w:eastAsia="Playfair Display" w:hAnsi="Playfair Display"/>
          <w:b w:val="false"/>
          <w:bCs w:val="false"/>
          <w:color w:val="081A33"/>
        </w:rPr>
        <w:t xml:space="preserve">Three tiers. One standard.</w:t>
      </w:r>
    </w:p>
    <w:p>
      <w:pPr>
        <w:spacing w:after="80" w:before="80" w:line="320"/>
      </w:pPr>
      <w:r>
        <w:rPr>
          <w:rFonts w:ascii="Inter" w:cs="Inter" w:eastAsia="Inter" w:hAnsi="Inter"/>
          <w:color w:val="374151"/>
          <w:sz w:val="22"/>
          <w:szCs w:val="22"/>
        </w:rPr>
        <w:t xml:space="preserve">Every engagement — from a fixed-scope research project to a multi-year enterprise partnership — is delivered by a senior principal against the same Signal™ method.</w:t>
      </w:r>
    </w:p>
    <w:p>
      <w:pPr>
        <w:spacing w:after="80" w:before="320"/>
      </w:pPr>
      <w:r>
        <w:rPr>
          <w:rFonts w:ascii="Inter" w:cs="Inter" w:eastAsia="Inter" w:hAnsi="Inter"/>
          <w:b/>
          <w:bCs/>
          <w:color w:val="0F3D63"/>
          <w:spacing w:val="80"/>
          <w:sz w:val="20"/>
          <w:szCs w:val="20"/>
        </w:rPr>
        <w:t xml:space="preserve">STRATEGIC INTELLIGENCE</w:t>
      </w:r>
    </w:p>
    <w:p>
      <w:r>
        <w:rPr>
          <w:rFonts w:ascii="Playfair Display" w:cs="Playfair Display" w:eastAsia="Playfair Display" w:hAnsi="Playfair Display"/>
          <w:color w:val="081A33"/>
          <w:sz w:val="40"/>
          <w:szCs w:val="40"/>
        </w:rPr>
        <w:t xml:space="preserve">From £5,000</w:t>
      </w:r>
      <w:r>
        <w:rPr>
          <w:rFonts w:ascii="Inter" w:cs="Inter" w:eastAsia="Inter" w:hAnsi="Inter"/>
          <w:color w:val="475569"/>
          <w:spacing w:val="40"/>
          <w:sz w:val="18"/>
          <w:szCs w:val="18"/>
        </w:rPr>
        <w:t xml:space="preserve">   per project</w:t>
      </w:r>
    </w:p>
    <w:p>
      <w:pPr>
        <w:spacing w:after="80" w:before="80" w:line="320"/>
      </w:pPr>
      <w:r>
        <w:rPr>
          <w:rFonts w:ascii="Inter" w:cs="Inter" w:eastAsia="Inter" w:hAnsi="Inter"/>
          <w:color w:val="374151"/>
          <w:sz w:val="22"/>
          <w:szCs w:val="22"/>
        </w:rPr>
        <w:t xml:space="preserve">Discovery-grade intelligence for a defined decision.</w:t>
      </w:r>
    </w:p>
    <w:p>
      <w:pPr>
        <w:pStyle w:val="ListParagraph"/>
        <w:numPr>
          <w:ilvl w:val="0"/>
          <w:numId w:val="2"/>
        </w:numPr>
        <w:spacing w:after="40" w:before="40" w:line="300"/>
      </w:pPr>
      <w:r>
        <w:rPr>
          <w:rFonts w:ascii="Inter" w:cs="Inter" w:eastAsia="Inter" w:hAnsi="Inter"/>
          <w:color w:val="374151"/>
          <w:sz w:val="22"/>
          <w:szCs w:val="22"/>
        </w:rPr>
        <w:t xml:space="preserve">Market &amp; competitor scan</w:t>
      </w:r>
    </w:p>
    <w:p>
      <w:pPr>
        <w:pStyle w:val="ListParagraph"/>
        <w:numPr>
          <w:ilvl w:val="0"/>
          <w:numId w:val="2"/>
        </w:numPr>
        <w:spacing w:after="40" w:before="40" w:line="300"/>
      </w:pPr>
      <w:r>
        <w:rPr>
          <w:rFonts w:ascii="Inter" w:cs="Inter" w:eastAsia="Inter" w:hAnsi="Inter"/>
          <w:color w:val="374151"/>
          <w:sz w:val="22"/>
          <w:szCs w:val="22"/>
        </w:rPr>
        <w:t xml:space="preserve">Signal extraction</w:t>
      </w:r>
    </w:p>
    <w:p>
      <w:pPr>
        <w:pStyle w:val="ListParagraph"/>
        <w:numPr>
          <w:ilvl w:val="0"/>
          <w:numId w:val="2"/>
        </w:numPr>
        <w:spacing w:after="40" w:before="40" w:line="300"/>
      </w:pPr>
      <w:r>
        <w:rPr>
          <w:rFonts w:ascii="Inter" w:cs="Inter" w:eastAsia="Inter" w:hAnsi="Inter"/>
          <w:color w:val="374151"/>
          <w:sz w:val="22"/>
          <w:szCs w:val="22"/>
        </w:rPr>
        <w:t xml:space="preserve">Executive brief</w:t>
      </w:r>
    </w:p>
    <w:p>
      <w:pPr>
        <w:pStyle w:val="ListParagraph"/>
        <w:numPr>
          <w:ilvl w:val="0"/>
          <w:numId w:val="2"/>
        </w:numPr>
        <w:spacing w:after="40" w:before="40" w:line="300"/>
      </w:pPr>
      <w:r>
        <w:rPr>
          <w:rFonts w:ascii="Inter" w:cs="Inter" w:eastAsia="Inter" w:hAnsi="Inter"/>
          <w:color w:val="374151"/>
          <w:sz w:val="22"/>
          <w:szCs w:val="22"/>
        </w:rPr>
        <w:t xml:space="preserve">One board presentation</w:t>
      </w:r>
    </w:p>
    <w:p>
      <w:pPr>
        <w:spacing w:after="80" w:before="320"/>
      </w:pPr>
      <w:r>
        <w:rPr>
          <w:rFonts w:ascii="Inter" w:cs="Inter" w:eastAsia="Inter" w:hAnsi="Inter"/>
          <w:b/>
          <w:bCs/>
          <w:color w:val="C9A24B"/>
          <w:spacing w:val="80"/>
          <w:sz w:val="20"/>
          <w:szCs w:val="20"/>
        </w:rPr>
        <w:t xml:space="preserve">ADVISORY RETAINER   ·   RECOMMENDED</w:t>
      </w:r>
    </w:p>
    <w:p>
      <w:r>
        <w:rPr>
          <w:rFonts w:ascii="Playfair Display" w:cs="Playfair Display" w:eastAsia="Playfair Display" w:hAnsi="Playfair Display"/>
          <w:color w:val="081A33"/>
          <w:sz w:val="40"/>
          <w:szCs w:val="40"/>
        </w:rPr>
        <w:t xml:space="preserve">From £7,500</w:t>
      </w:r>
      <w:r>
        <w:rPr>
          <w:rFonts w:ascii="Inter" w:cs="Inter" w:eastAsia="Inter" w:hAnsi="Inter"/>
          <w:color w:val="475569"/>
          <w:spacing w:val="40"/>
          <w:sz w:val="18"/>
          <w:szCs w:val="18"/>
        </w:rPr>
        <w:t xml:space="preserve">   per month</w:t>
      </w:r>
    </w:p>
    <w:p>
      <w:pPr>
        <w:spacing w:after="80" w:before="80" w:line="320"/>
      </w:pPr>
      <w:r>
        <w:rPr>
          <w:rFonts w:ascii="Inter" w:cs="Inter" w:eastAsia="Inter" w:hAnsi="Inter"/>
          <w:color w:val="374151"/>
          <w:sz w:val="22"/>
          <w:szCs w:val="22"/>
        </w:rPr>
        <w:t xml:space="preserve">Ongoing access to a senior principal and the Signal™ framework.</w:t>
      </w:r>
    </w:p>
    <w:p>
      <w:pPr>
        <w:pStyle w:val="ListParagraph"/>
        <w:numPr>
          <w:ilvl w:val="0"/>
          <w:numId w:val="2"/>
        </w:numPr>
        <w:spacing w:after="40" w:before="40" w:line="300"/>
      </w:pPr>
      <w:r>
        <w:rPr>
          <w:rFonts w:ascii="Inter" w:cs="Inter" w:eastAsia="Inter" w:hAnsi="Inter"/>
          <w:color w:val="374151"/>
          <w:sz w:val="22"/>
          <w:szCs w:val="22"/>
        </w:rPr>
        <w:t xml:space="preserve">Rolling research pipeline</w:t>
      </w:r>
    </w:p>
    <w:p>
      <w:pPr>
        <w:pStyle w:val="ListParagraph"/>
        <w:numPr>
          <w:ilvl w:val="0"/>
          <w:numId w:val="2"/>
        </w:numPr>
        <w:spacing w:after="40" w:before="40" w:line="300"/>
      </w:pPr>
      <w:r>
        <w:rPr>
          <w:rFonts w:ascii="Inter" w:cs="Inter" w:eastAsia="Inter" w:hAnsi="Inter"/>
          <w:color w:val="374151"/>
          <w:sz w:val="22"/>
          <w:szCs w:val="22"/>
        </w:rPr>
        <w:t xml:space="preserve">Monthly board note</w:t>
      </w:r>
    </w:p>
    <w:p>
      <w:pPr>
        <w:pStyle w:val="ListParagraph"/>
        <w:numPr>
          <w:ilvl w:val="0"/>
          <w:numId w:val="2"/>
        </w:numPr>
        <w:spacing w:after="40" w:before="40" w:line="300"/>
      </w:pPr>
      <w:r>
        <w:rPr>
          <w:rFonts w:ascii="Inter" w:cs="Inter" w:eastAsia="Inter" w:hAnsi="Inter"/>
          <w:color w:val="374151"/>
          <w:sz w:val="22"/>
          <w:szCs w:val="22"/>
        </w:rPr>
        <w:t xml:space="preserve">Quarterly deep-dive</w:t>
      </w:r>
    </w:p>
    <w:p>
      <w:pPr>
        <w:pStyle w:val="ListParagraph"/>
        <w:numPr>
          <w:ilvl w:val="0"/>
          <w:numId w:val="2"/>
        </w:numPr>
        <w:spacing w:after="40" w:before="40" w:line="300"/>
      </w:pPr>
      <w:r>
        <w:rPr>
          <w:rFonts w:ascii="Inter" w:cs="Inter" w:eastAsia="Inter" w:hAnsi="Inter"/>
          <w:color w:val="374151"/>
          <w:sz w:val="22"/>
          <w:szCs w:val="22"/>
        </w:rPr>
        <w:t xml:space="preserve">Priority delivery</w:t>
      </w:r>
    </w:p>
    <w:p>
      <w:pPr>
        <w:spacing w:after="80" w:before="320"/>
      </w:pPr>
      <w:r>
        <w:rPr>
          <w:rFonts w:ascii="Inter" w:cs="Inter" w:eastAsia="Inter" w:hAnsi="Inter"/>
          <w:b/>
          <w:bCs/>
          <w:color w:val="0F3D63"/>
          <w:spacing w:val="80"/>
          <w:sz w:val="20"/>
          <w:szCs w:val="20"/>
        </w:rPr>
        <w:t xml:space="preserve">ENTERPRISE PARTNERSHIP</w:t>
      </w:r>
    </w:p>
    <w:p>
      <w:r>
        <w:rPr>
          <w:rFonts w:ascii="Playfair Display" w:cs="Playfair Display" w:eastAsia="Playfair Display" w:hAnsi="Playfair Display"/>
          <w:color w:val="081A33"/>
          <w:sz w:val="40"/>
          <w:szCs w:val="40"/>
        </w:rPr>
        <w:t xml:space="preserve">From £15,000</w:t>
      </w:r>
      <w:r>
        <w:rPr>
          <w:rFonts w:ascii="Inter" w:cs="Inter" w:eastAsia="Inter" w:hAnsi="Inter"/>
          <w:color w:val="475569"/>
          <w:spacing w:val="40"/>
          <w:sz w:val="18"/>
          <w:szCs w:val="18"/>
        </w:rPr>
        <w:t xml:space="preserve">   per month</w:t>
      </w:r>
    </w:p>
    <w:p>
      <w:pPr>
        <w:spacing w:after="80" w:before="80" w:line="320"/>
      </w:pPr>
      <w:r>
        <w:rPr>
          <w:rFonts w:ascii="Inter" w:cs="Inter" w:eastAsia="Inter" w:hAnsi="Inter"/>
          <w:color w:val="374151"/>
          <w:sz w:val="22"/>
          <w:szCs w:val="22"/>
        </w:rPr>
        <w:t xml:space="preserve">Embedded intelligence function for high-consequence enterprises.</w:t>
      </w:r>
    </w:p>
    <w:p>
      <w:pPr>
        <w:pStyle w:val="ListParagraph"/>
        <w:numPr>
          <w:ilvl w:val="0"/>
          <w:numId w:val="2"/>
        </w:numPr>
        <w:spacing w:after="40" w:before="40" w:line="300"/>
      </w:pPr>
      <w:r>
        <w:rPr>
          <w:rFonts w:ascii="Inter" w:cs="Inter" w:eastAsia="Inter" w:hAnsi="Inter"/>
          <w:color w:val="374151"/>
          <w:sz w:val="22"/>
          <w:szCs w:val="22"/>
        </w:rPr>
        <w:t xml:space="preserve">Dedicated principal + associate</w:t>
      </w:r>
    </w:p>
    <w:p>
      <w:pPr>
        <w:pStyle w:val="ListParagraph"/>
        <w:numPr>
          <w:ilvl w:val="0"/>
          <w:numId w:val="2"/>
        </w:numPr>
        <w:spacing w:after="40" w:before="40" w:line="300"/>
      </w:pPr>
      <w:r>
        <w:rPr>
          <w:rFonts w:ascii="Inter" w:cs="Inter" w:eastAsia="Inter" w:hAnsi="Inter"/>
          <w:color w:val="374151"/>
          <w:sz w:val="22"/>
          <w:szCs w:val="22"/>
        </w:rPr>
        <w:t xml:space="preserve">Weekly intelligence cadence</w:t>
      </w:r>
    </w:p>
    <w:p>
      <w:pPr>
        <w:pStyle w:val="ListParagraph"/>
        <w:numPr>
          <w:ilvl w:val="0"/>
          <w:numId w:val="2"/>
        </w:numPr>
        <w:spacing w:after="40" w:before="40" w:line="300"/>
      </w:pPr>
      <w:r>
        <w:rPr>
          <w:rFonts w:ascii="Inter" w:cs="Inter" w:eastAsia="Inter" w:hAnsi="Inter"/>
          <w:color w:val="374151"/>
          <w:sz w:val="22"/>
          <w:szCs w:val="22"/>
        </w:rPr>
        <w:t xml:space="preserve">On-call board advisory</w:t>
      </w:r>
    </w:p>
    <w:p>
      <w:pPr>
        <w:pStyle w:val="ListParagraph"/>
        <w:numPr>
          <w:ilvl w:val="0"/>
          <w:numId w:val="2"/>
        </w:numPr>
        <w:spacing w:after="40" w:before="40" w:line="300"/>
      </w:pPr>
      <w:r>
        <w:rPr>
          <w:rFonts w:ascii="Inter" w:cs="Inter" w:eastAsia="Inter" w:hAnsi="Inter"/>
          <w:color w:val="374151"/>
          <w:sz w:val="22"/>
          <w:szCs w:val="22"/>
        </w:rPr>
        <w:t xml:space="preserve">Proprietary data workspace</w:t>
      </w:r>
    </w:p>
    <w:p>
      <w:r>
        <w:br w:type="page"/>
      </w:r>
    </w:p>
    <w:p>
      <w:pPr>
        <w:spacing w:after="40" w:before="40"/>
      </w:pPr>
      <w:r>
        <w:rPr>
          <w:rFonts w:ascii="Inter" w:cs="Inter" w:eastAsia="Inter" w:hAnsi="Inter"/>
          <w:b/>
          <w:bCs/>
          <w:color w:val="C9A24B"/>
          <w:spacing w:val="60"/>
          <w:sz w:val="16"/>
          <w:szCs w:val="16"/>
        </w:rPr>
        <w:t xml:space="preserve">COMPARISON</w:t>
      </w:r>
    </w:p>
    <w:p>
      <w:pPr>
        <w:pStyle w:val="Heading2"/>
        <w:spacing w:after="140" w:before="260"/>
      </w:pPr>
      <w:r>
        <w:rPr>
          <w:rFonts w:ascii="Playfair Display" w:cs="Playfair Display" w:eastAsia="Playfair Display" w:hAnsi="Playfair Display"/>
          <w:b w:val="false"/>
          <w:bCs w:val="false"/>
          <w:color w:val="081A33"/>
        </w:rPr>
        <w:t xml:space="preserve">What is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960"/>
        <w:gridCol w:w="1800"/>
        <w:gridCol w:w="1800"/>
        <w:gridCol w:w="1800"/>
      </w:tblGrid>
      <w:tr>
        <w:trPr>
          <w:tblHeader/>
        </w:trPr>
        <w:tc>
          <w:tcPr>
            <w:tcW w:type="dxa" w:w="39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FEATURE</w:t>
            </w:r>
          </w:p>
        </w:tc>
        <w:tc>
          <w:tcPr>
            <w:tcW w:type="dxa" w:w="18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INTELLIGENCE</w:t>
            </w:r>
          </w:p>
        </w:tc>
        <w:tc>
          <w:tcPr>
            <w:tcW w:type="dxa" w:w="18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ADVISORY</w:t>
            </w:r>
          </w:p>
        </w:tc>
        <w:tc>
          <w:tcPr>
            <w:tcW w:type="dxa" w:w="18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ENTERPRISE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Signal™ engagement</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Principal-led delivery</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Rolling research pipeline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Monthly board note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Dedicated associate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On-call advisory</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Proprietary data workspace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r>
        <w:tc>
          <w:tcPr>
            <w:tcW w:type="dxa" w:w="39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Cross-sector benchmarking</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c>
          <w:tcPr>
            <w:tcW w:type="dxa" w:w="18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w:t>
            </w:r>
          </w:p>
        </w:tc>
      </w:tr>
    </w:tbl>
    <w:p>
      <w:r>
        <w:br w:type="page"/>
      </w:r>
    </w:p>
    <w:p>
      <w:pPr>
        <w:spacing w:after="40" w:before="40"/>
      </w:pPr>
      <w:r>
        <w:rPr>
          <w:rFonts w:ascii="Inter" w:cs="Inter" w:eastAsia="Inter" w:hAnsi="Inter"/>
          <w:b/>
          <w:bCs/>
          <w:color w:val="C9A24B"/>
          <w:spacing w:val="60"/>
          <w:sz w:val="16"/>
          <w:szCs w:val="16"/>
        </w:rPr>
        <w:t xml:space="preserve">PRICING NOTES &amp; OPTIONAL ADDITIONS</w:t>
      </w:r>
    </w:p>
    <w:p>
      <w:pPr>
        <w:pStyle w:val="Heading2"/>
        <w:spacing w:after="140" w:before="260"/>
      </w:pPr>
      <w:r>
        <w:rPr>
          <w:rFonts w:ascii="Playfair Display" w:cs="Playfair Display" w:eastAsia="Playfair Display" w:hAnsi="Playfair Display"/>
          <w:b w:val="false"/>
          <w:bCs w:val="false"/>
          <w:color w:val="081A33"/>
        </w:rPr>
        <w:t xml:space="preserve">Transparent by design.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rPr>
          <w:tblHeader/>
        </w:trPr>
        <w:tc>
          <w:tcPr>
            <w:tcW w:type="dxa" w:w="636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left"/>
            </w:pPr>
            <w:r>
              <w:rPr>
                <w:rFonts w:ascii="Inter" w:cs="Inter" w:eastAsia="Inter" w:hAnsi="Inter"/>
                <w:b/>
                <w:bCs/>
                <w:color w:val="C9A24B"/>
                <w:spacing w:val="40"/>
                <w:sz w:val="18"/>
                <w:szCs w:val="18"/>
              </w:rPr>
              <w:t xml:space="preserve">OPTIONAL ADD-ON</w:t>
            </w:r>
          </w:p>
        </w:tc>
        <w:tc>
          <w:tcPr>
            <w:tcW w:type="dxa" w:w="3000"/>
            <w:tcBorders>
              <w:top w:val="single" w:color="E5E7EB" w:sz="4"/>
              <w:left w:val="none" w:color="FFFFFF" w:sz="0"/>
              <w:bottom w:val="single" w:color="081A33" w:sz="12"/>
              <w:right w:val="none" w:color="FFFFFF" w:sz="0"/>
            </w:tcBorders>
            <w:shd w:fill="081A33" w:val="clear"/>
            <w:tcMar>
              <w:top w:type="dxa" w:w="120"/>
              <w:left w:type="dxa" w:w="140"/>
              <w:bottom w:type="dxa" w:w="120"/>
              <w:right w:type="dxa" w:w="140"/>
            </w:tcMar>
          </w:tcPr>
          <w:p>
            <w:pPr>
              <w:jc w:val="right"/>
            </w:pPr>
            <w:r>
              <w:rPr>
                <w:rFonts w:ascii="Inter" w:cs="Inter" w:eastAsia="Inter" w:hAnsi="Inter"/>
                <w:b/>
                <w:bCs/>
                <w:color w:val="C9A24B"/>
                <w:spacing w:val="40"/>
                <w:sz w:val="18"/>
                <w:szCs w:val="18"/>
              </w:rPr>
              <w:t xml:space="preserve">IMPACT</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Accelerated delivery</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+15–25%</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val="false"/>
                <w:bCs w:val="false"/>
                <w:color w:val="1F2937"/>
                <w:sz w:val="22"/>
                <w:szCs w:val="22"/>
              </w:rPr>
              <w:t xml:space="preserve">White-label output</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POA</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Scope extension</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POA</w:t>
            </w:r>
          </w:p>
        </w:tc>
      </w:tr>
      <w:tr>
        <w:tc>
          <w:tcPr>
            <w:tcW w:type="dxa" w:w="636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left"/>
            </w:pPr>
            <w:r>
              <w:rPr>
                <w:rFonts w:ascii="Inter" w:cs="Inter" w:eastAsia="Inter" w:hAnsi="Inter"/>
                <w:b/>
                <w:bCs/>
                <w:color w:val="1F2937"/>
                <w:sz w:val="22"/>
                <w:szCs w:val="22"/>
              </w:rPr>
              <w:t xml:space="preserve">Multi-quarter commitment</w:t>
            </w:r>
          </w:p>
        </w:tc>
        <w:tc>
          <w:tcPr>
            <w:tcW w:type="dxa" w:w="3000"/>
            <w:tcBorders>
              <w:top w:val="none" w:color="FFFFFF" w:sz="0"/>
              <w:left w:val="none" w:color="FFFFFF" w:sz="0"/>
              <w:bottom w:val="single" w:color="E5E7EB" w:sz="4"/>
              <w:right w:val="none" w:color="FFFFFF" w:sz="0"/>
            </w:tcBorders>
            <w:tcMar>
              <w:top w:type="dxa" w:w="100"/>
              <w:left w:type="dxa" w:w="140"/>
              <w:bottom w:type="dxa" w:w="100"/>
              <w:right w:type="dxa" w:w="140"/>
            </w:tcMar>
          </w:tcPr>
          <w:p>
            <w:pPr>
              <w:jc w:val="right"/>
            </w:pPr>
            <w:r>
              <w:rPr>
                <w:rFonts w:ascii="Consolas" w:cs="Consolas" w:eastAsia="Consolas" w:hAnsi="Consolas"/>
                <w:b w:val="false"/>
                <w:bCs w:val="false"/>
                <w:color w:val="1F2937"/>
                <w:sz w:val="22"/>
                <w:szCs w:val="22"/>
              </w:rPr>
              <w:t xml:space="preserve">−10%</w:t>
            </w:r>
          </w:p>
        </w:tc>
      </w:tr>
    </w:tbl>
    <w:p>
      <w:pPr>
        <w:spacing w:before="3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81A33" w:sz="4"/>
              <w:left w:val="single" w:color="081A33" w:sz="4"/>
              <w:bottom w:val="single" w:color="081A33" w:sz="4"/>
              <w:right w:val="single" w:color="081A33" w:sz="4"/>
            </w:tcBorders>
            <w:shd w:fill="081A33" w:val="clear"/>
            <w:tcMar>
              <w:top w:type="dxa" w:w="300"/>
              <w:left w:type="dxa" w:w="400"/>
              <w:bottom w:type="dxa" w:w="300"/>
              <w:right w:type="dxa" w:w="400"/>
            </w:tcMar>
          </w:tcPr>
          <w:p>
            <w:r>
              <w:rPr>
                <w:rFonts w:ascii="Inter" w:cs="Inter" w:eastAsia="Inter" w:hAnsi="Inter"/>
                <w:b/>
                <w:bCs/>
                <w:color w:val="C9A24B"/>
                <w:spacing w:val="80"/>
                <w:sz w:val="18"/>
                <w:szCs w:val="18"/>
              </w:rPr>
              <w:t xml:space="preserve">NOTES</w:t>
            </w:r>
          </w:p>
          <w:p>
            <w:pPr>
              <w:spacing w:before="160"/>
            </w:pPr>
            <w:r>
              <w:rPr>
                <w:rFonts w:ascii="Playfair Display" w:cs="Playfair Display" w:eastAsia="Playfair Display" w:hAnsi="Playfair Display"/>
                <w:i/>
                <w:iCs/>
                <w:color w:val="F5F7FA"/>
                <w:sz w:val="28"/>
                <w:szCs w:val="28"/>
              </w:rPr>
              <w:t xml:space="preserve">All fees are exclusive of applicable taxes. Pricing is indicative — final scope confirmed in writing. Field costs and third-party panels are excluded unless agreed. All engagements are governed by the Oakwell SLA and Terms.</w:t>
            </w:r>
          </w:p>
        </w:tc>
      </w:tr>
    </w:tbl>
    <w:p>
      <w:pPr>
        <w:sectPr>
          <w:footerReference w:type="default" r:id="rId10"/>
          <w:pgSz w:w="11906" w:h="16838" w:orient="portrait"/>
          <w:pgMar w:top="1080" w:right="1080" w:bottom="1080" w:left="1080" w:header="708" w:footer="708" w:gutter="0"/>
          <w:pgNumTyp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SERVICE LEVEL AGREEMENT</w:t>
            </w:r>
          </w:p>
          <w:p>
            <w:pPr>
              <w:spacing w:before="240"/>
            </w:pPr>
            <w:r>
              <w:rPr>
                <w:rFonts w:ascii="Playfair Display" w:cs="Playfair Display" w:eastAsia="Playfair Display" w:hAnsi="Playfair Display"/>
                <w:color w:val="F5F7FA"/>
                <w:sz w:val="96"/>
                <w:szCs w:val="96"/>
              </w:rPr>
              <w:t xml:space="preserve">Standards</w:t>
            </w:r>
          </w:p>
          <w:p>
            <w:pPr>
              <w:spacing w:before="320"/>
            </w:pPr>
            <w:r>
              <w:rPr>
                <w:rFonts w:ascii="Playfair Display" w:cs="Playfair Display" w:eastAsia="Playfair Display" w:hAnsi="Playfair Display"/>
                <w:i/>
                <w:iCs/>
                <w:color w:val="8FA8C9"/>
                <w:sz w:val="40"/>
                <w:szCs w:val="40"/>
              </w:rPr>
              <w:t xml:space="preserve">of service.</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LEGAL · ENTERPRISE   ·   OAKWELL CONSULTING LTD   ·   V1.0</w:t>
            </w:r>
          </w:p>
        </w:tc>
      </w:tr>
    </w:tbl>
    <w:p>
      <w:r>
        <w:br w:type="page"/>
      </w:r>
    </w:p>
    <w:p>
      <w:pPr>
        <w:spacing w:after="60" w:before="200"/>
      </w:pPr>
      <w:r>
        <w:rPr>
          <w:rFonts w:ascii="Inter" w:cs="Inter" w:eastAsia="Inter" w:hAnsi="Inter"/>
          <w:b/>
          <w:bCs/>
          <w:color w:val="0F3D63"/>
          <w:spacing w:val="40"/>
          <w:sz w:val="16"/>
          <w:szCs w:val="16"/>
        </w:rPr>
        <w:t xml:space="preserve">DOCUMENT CONTROL</w:t>
      </w:r>
    </w:p>
    <w:p>
      <w:pPr>
        <w:pStyle w:val="Heading2"/>
        <w:spacing w:after="140" w:before="260"/>
      </w:pPr>
      <w:r>
        <w:rPr>
          <w:rFonts w:ascii="Playfair Display" w:cs="Playfair Display" w:eastAsia="Playfair Display" w:hAnsi="Playfair Display"/>
          <w:b w:val="false"/>
          <w:bCs w:val="false"/>
          <w:color w:val="081A33"/>
        </w:rPr>
        <w:t xml:space="preserve">Version register.</w:t>
      </w:r>
    </w:p>
    <w:p>
      <w:pPr>
        <w:spacing w:before="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Document title</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Service Level Agreement</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Version</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v1.0</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Effective date</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[DD MMM YYYY]</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Owner</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Consulting Ltd — Managing Principal</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Review cycle</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Annual</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Classification</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Confidential — Client Governance</w:t>
            </w:r>
          </w:p>
        </w:tc>
      </w:tr>
    </w:tbl>
    <w:p>
      <w:pPr>
        <w:spacing w:before="320"/>
      </w:pPr>
    </w:p>
    <w:p>
      <w:pPr>
        <w:spacing w:after="60" w:before="200"/>
      </w:pPr>
      <w:r>
        <w:rPr>
          <w:rFonts w:ascii="Inter" w:cs="Inter" w:eastAsia="Inter" w:hAnsi="Inter"/>
          <w:b/>
          <w:bCs/>
          <w:color w:val="0F3D63"/>
          <w:spacing w:val="40"/>
          <w:sz w:val="16"/>
          <w:szCs w:val="16"/>
        </w:rPr>
        <w:t xml:space="preserve">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Service Provider</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Consulting Ltd — Registered in England &amp; Wales</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Client</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[Client Legal Name] — [Registered address]</w:t>
            </w:r>
          </w:p>
        </w:tc>
      </w:tr>
    </w:tbl>
    <w:p>
      <w:pPr>
        <w:spacing w:before="320"/>
      </w:pPr>
    </w:p>
    <w:p>
      <w:pPr>
        <w:spacing w:after="60" w:before="200"/>
      </w:pPr>
      <w:r>
        <w:rPr>
          <w:rFonts w:ascii="Inter" w:cs="Inter" w:eastAsia="Inter" w:hAnsi="Inter"/>
          <w:b/>
          <w:bCs/>
          <w:color w:val="0F3D63"/>
          <w:spacing w:val="40"/>
          <w:sz w:val="16"/>
          <w:szCs w:val="16"/>
        </w:rPr>
        <w:t xml:space="preserve">DEFINED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Service Provider</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Consulting Ltd.</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Client</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The organisation engaging the Service Provider.</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Services</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The research, insight and advisory services described in the relevant engagement schedule.</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Agreement</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This SLA together with any proposal or engagement schedule.</w:t>
            </w:r>
          </w:p>
        </w:tc>
      </w:tr>
    </w:tbl>
    <w:p>
      <w:r>
        <w:br w:type="page"/>
      </w:r>
    </w:p>
    <w:p>
      <w:pPr>
        <w:spacing w:after="60" w:before="200"/>
      </w:pPr>
      <w:r>
        <w:rPr>
          <w:rFonts w:ascii="Inter" w:cs="Inter" w:eastAsia="Inter" w:hAnsi="Inter"/>
          <w:b/>
          <w:bCs/>
          <w:color w:val="0F3D63"/>
          <w:spacing w:val="40"/>
          <w:sz w:val="16"/>
          <w:szCs w:val="16"/>
        </w:rPr>
        <w:t xml:space="preserve">TERMS OF SERVICE</w:t>
      </w:r>
    </w:p>
    <w:p>
      <w:pPr>
        <w:pStyle w:val="Heading2"/>
        <w:spacing w:after="140" w:before="260"/>
      </w:pPr>
      <w:r>
        <w:rPr>
          <w:rFonts w:ascii="Playfair Display" w:cs="Playfair Display" w:eastAsia="Playfair Display" w:hAnsi="Playfair Display"/>
          <w:b w:val="false"/>
          <w:bCs w:val="false"/>
          <w:color w:val="081A33"/>
        </w:rPr>
        <w:t xml:space="preserve">Clauses 1 – 14.</w:t>
      </w:r>
    </w:p>
    <w:p>
      <w:pPr>
        <w:spacing w:after="80" w:before="260"/>
      </w:pPr>
      <w:r>
        <w:rPr>
          <w:rFonts w:ascii="Consolas" w:cs="Consolas" w:eastAsia="Consolas" w:hAnsi="Consolas"/>
          <w:b/>
          <w:bCs/>
          <w:color w:val="C9A24B"/>
          <w:sz w:val="22"/>
          <w:szCs w:val="22"/>
        </w:rPr>
        <w:t xml:space="preserve">1.  </w:t>
      </w:r>
      <w:r>
        <w:rPr>
          <w:rFonts w:ascii="Inter" w:cs="Inter" w:eastAsia="Inter" w:hAnsi="Inter"/>
          <w:b/>
          <w:bCs/>
          <w:color w:val="081A33"/>
          <w:sz w:val="24"/>
          <w:szCs w:val="24"/>
        </w:rPr>
        <w:t xml:space="preserve">Purpose</w:t>
      </w:r>
    </w:p>
    <w:p>
      <w:pPr>
        <w:spacing w:after="80" w:before="80" w:line="320"/>
      </w:pPr>
      <w:r>
        <w:rPr>
          <w:rFonts w:ascii="Inter" w:cs="Inter" w:eastAsia="Inter" w:hAnsi="Inter"/>
          <w:color w:val="374151"/>
          <w:sz w:val="22"/>
          <w:szCs w:val="22"/>
        </w:rPr>
        <w:t xml:space="preserve">This SLA defines the scope of services, service levels, communication standards, and responsibilities of both parties, ensuring a clear and professional working relationship.</w:t>
      </w:r>
    </w:p>
    <w:p>
      <w:pPr>
        <w:spacing w:after="80" w:before="260"/>
      </w:pPr>
      <w:r>
        <w:rPr>
          <w:rFonts w:ascii="Consolas" w:cs="Consolas" w:eastAsia="Consolas" w:hAnsi="Consolas"/>
          <w:b/>
          <w:bCs/>
          <w:color w:val="C9A24B"/>
          <w:sz w:val="22"/>
          <w:szCs w:val="22"/>
        </w:rPr>
        <w:t xml:space="preserve">2.  </w:t>
      </w:r>
      <w:r>
        <w:rPr>
          <w:rFonts w:ascii="Inter" w:cs="Inter" w:eastAsia="Inter" w:hAnsi="Inter"/>
          <w:b/>
          <w:bCs/>
          <w:color w:val="081A33"/>
          <w:sz w:val="24"/>
          <w:szCs w:val="24"/>
        </w:rPr>
        <w:t xml:space="preserve">Scope of Services</w:t>
      </w:r>
    </w:p>
    <w:p>
      <w:pPr>
        <w:spacing w:after="80" w:before="80" w:line="320"/>
      </w:pPr>
      <w:r>
        <w:rPr>
          <w:rFonts w:ascii="Inter" w:cs="Inter" w:eastAsia="Inter" w:hAnsi="Inter"/>
          <w:color w:val="374151"/>
          <w:sz w:val="22"/>
          <w:szCs w:val="22"/>
        </w:rPr>
        <w:t xml:space="preserve">Oakwell Consulting Ltd provides strategic intelligence and advisory services. Services may include, without limitation: market and competitive research; consumer and audience research; performance and effectiveness analysis; research-led strategic advisory; and insight reporting and executive presentations.</w:t>
      </w:r>
    </w:p>
    <w:p>
      <w:pPr>
        <w:spacing w:after="80" w:before="80" w:line="320"/>
      </w:pPr>
      <w:r>
        <w:rPr>
          <w:rFonts w:ascii="Inter" w:cs="Inter" w:eastAsia="Inter" w:hAnsi="Inter"/>
          <w:color w:val="374151"/>
          <w:sz w:val="22"/>
          <w:szCs w:val="22"/>
        </w:rPr>
        <w:t xml:space="preserve">Specific services, deliverables, timelines and outputs will be detailed in an agreed proposal or engagement schedule forming part of this Agreement.</w:t>
      </w:r>
    </w:p>
    <w:p>
      <w:pPr>
        <w:spacing w:after="80" w:before="260"/>
      </w:pPr>
      <w:r>
        <w:rPr>
          <w:rFonts w:ascii="Consolas" w:cs="Consolas" w:eastAsia="Consolas" w:hAnsi="Consolas"/>
          <w:b/>
          <w:bCs/>
          <w:color w:val="C9A24B"/>
          <w:sz w:val="22"/>
          <w:szCs w:val="22"/>
        </w:rPr>
        <w:t xml:space="preserve">3.  </w:t>
      </w:r>
      <w:r>
        <w:rPr>
          <w:rFonts w:ascii="Inter" w:cs="Inter" w:eastAsia="Inter" w:hAnsi="Inter"/>
          <w:b/>
          <w:bCs/>
          <w:color w:val="081A33"/>
          <w:sz w:val="24"/>
          <w:szCs w:val="24"/>
        </w:rPr>
        <w:t xml:space="preserve">Service Levels</w:t>
      </w:r>
    </w:p>
    <w:p>
      <w:pPr>
        <w:spacing w:after="80" w:before="80" w:line="320"/>
      </w:pPr>
      <w:r>
        <w:rPr>
          <w:rFonts w:ascii="Inter" w:cs="Inter" w:eastAsia="Inter" w:hAnsi="Inter"/>
          <w:color w:val="374151"/>
          <w:sz w:val="22"/>
          <w:szCs w:val="22"/>
        </w:rPr>
        <w:t xml:space="preserve">3.1 Delivery Standards — Oakwell will deliver services with reasonable skill, care and professional diligence; apply research methodologies appropriate to the agreed scope; deliver outputs that are clear, accurate and decision-ready; and use reasonable efforts to meet agreed timelines, subject to timely Client input.</w:t>
      </w:r>
    </w:p>
    <w:p>
      <w:pPr>
        <w:spacing w:after="80" w:before="80" w:line="320"/>
      </w:pPr>
      <w:r>
        <w:rPr>
          <w:rFonts w:ascii="Inter" w:cs="Inter" w:eastAsia="Inter" w:hAnsi="Inter"/>
          <w:color w:val="374151"/>
          <w:sz w:val="22"/>
          <w:szCs w:val="22"/>
        </w:rPr>
        <w:t xml:space="preserve">3.2 Timelines — Timelines will be agreed in writing for each project or retainer. Retainer-based work will be prioritised in line with the agreed retainer scope. Delays resulting from late feedback, approvals or data provision by the Client may require timelines to be adjusted.</w:t>
      </w:r>
    </w:p>
    <w:p>
      <w:pPr>
        <w:spacing w:after="80" w:before="260"/>
      </w:pPr>
      <w:r>
        <w:rPr>
          <w:rFonts w:ascii="Consolas" w:cs="Consolas" w:eastAsia="Consolas" w:hAnsi="Consolas"/>
          <w:b/>
          <w:bCs/>
          <w:color w:val="C9A24B"/>
          <w:sz w:val="22"/>
          <w:szCs w:val="22"/>
        </w:rPr>
        <w:t xml:space="preserve">4.  </w:t>
      </w:r>
      <w:r>
        <w:rPr>
          <w:rFonts w:ascii="Inter" w:cs="Inter" w:eastAsia="Inter" w:hAnsi="Inter"/>
          <w:b/>
          <w:bCs/>
          <w:color w:val="081A33"/>
          <w:sz w:val="24"/>
          <w:szCs w:val="24"/>
        </w:rPr>
        <w:t xml:space="preserve">Client Responsibilities</w:t>
      </w:r>
    </w:p>
    <w:p>
      <w:pPr>
        <w:spacing w:after="80" w:before="80" w:line="320"/>
      </w:pPr>
      <w:r>
        <w:rPr>
          <w:rFonts w:ascii="Inter" w:cs="Inter" w:eastAsia="Inter" w:hAnsi="Inter"/>
          <w:color w:val="374151"/>
          <w:sz w:val="22"/>
          <w:szCs w:val="22"/>
        </w:rPr>
        <w:t xml:space="preserve">The Client agrees to provide timely access to required information, data and stakeholders; review and approve deliverables within agreed timeframes; ensure that all information supplied is accurate and lawful; and appoint a primary point of contact for communication and decision-making.</w:t>
      </w:r>
    </w:p>
    <w:p>
      <w:pPr>
        <w:spacing w:after="80" w:before="260"/>
      </w:pPr>
      <w:r>
        <w:rPr>
          <w:rFonts w:ascii="Consolas" w:cs="Consolas" w:eastAsia="Consolas" w:hAnsi="Consolas"/>
          <w:b/>
          <w:bCs/>
          <w:color w:val="C9A24B"/>
          <w:sz w:val="22"/>
          <w:szCs w:val="22"/>
        </w:rPr>
        <w:t xml:space="preserve">5.  </w:t>
      </w:r>
      <w:r>
        <w:rPr>
          <w:rFonts w:ascii="Inter" w:cs="Inter" w:eastAsia="Inter" w:hAnsi="Inter"/>
          <w:b/>
          <w:bCs/>
          <w:color w:val="081A33"/>
          <w:sz w:val="24"/>
          <w:szCs w:val="24"/>
        </w:rPr>
        <w:t xml:space="preserve">Communication &amp; Reporting</w:t>
      </w:r>
    </w:p>
    <w:p>
      <w:pPr>
        <w:spacing w:after="80" w:before="80" w:line="320"/>
      </w:pPr>
      <w:r>
        <w:rPr>
          <w:rFonts w:ascii="Inter" w:cs="Inter" w:eastAsia="Inter" w:hAnsi="Inter"/>
          <w:color w:val="374151"/>
          <w:sz w:val="22"/>
          <w:szCs w:val="22"/>
        </w:rPr>
        <w:t xml:space="preserve">Each party will nominate a primary point of contact. Communication will take place via agreed channels (email, video conferencing). Progress updates will be provided at agreed intervals, particularly for retainer engagements.</w:t>
      </w:r>
    </w:p>
    <w:p>
      <w:pPr>
        <w:spacing w:after="80" w:before="260"/>
      </w:pPr>
      <w:r>
        <w:rPr>
          <w:rFonts w:ascii="Consolas" w:cs="Consolas" w:eastAsia="Consolas" w:hAnsi="Consolas"/>
          <w:b/>
          <w:bCs/>
          <w:color w:val="C9A24B"/>
          <w:sz w:val="22"/>
          <w:szCs w:val="22"/>
        </w:rPr>
        <w:t xml:space="preserve">6.  </w:t>
      </w:r>
      <w:r>
        <w:rPr>
          <w:rFonts w:ascii="Inter" w:cs="Inter" w:eastAsia="Inter" w:hAnsi="Inter"/>
          <w:b/>
          <w:bCs/>
          <w:color w:val="081A33"/>
          <w:sz w:val="24"/>
          <w:szCs w:val="24"/>
        </w:rPr>
        <w:t xml:space="preserve">Confidentiality</w:t>
      </w:r>
    </w:p>
    <w:p>
      <w:pPr>
        <w:spacing w:after="80" w:before="80" w:line="320"/>
      </w:pPr>
      <w:r>
        <w:rPr>
          <w:rFonts w:ascii="Inter" w:cs="Inter" w:eastAsia="Inter" w:hAnsi="Inter"/>
          <w:color w:val="374151"/>
          <w:sz w:val="22"/>
          <w:szCs w:val="22"/>
        </w:rPr>
        <w:t xml:space="preserve">Both parties agree to keep all confidential information disclosed during the engagement strictly confidential and not to disclose it to third parties without prior written consent, except where required by law. Confidential information includes business information, research data, findings, strategies and proprietary methodologies.</w:t>
      </w:r>
    </w:p>
    <w:p>
      <w:pPr>
        <w:spacing w:after="80" w:before="260"/>
      </w:pPr>
      <w:r>
        <w:rPr>
          <w:rFonts w:ascii="Consolas" w:cs="Consolas" w:eastAsia="Consolas" w:hAnsi="Consolas"/>
          <w:b/>
          <w:bCs/>
          <w:color w:val="C9A24B"/>
          <w:sz w:val="22"/>
          <w:szCs w:val="22"/>
        </w:rPr>
        <w:t xml:space="preserve">7.  </w:t>
      </w:r>
      <w:r>
        <w:rPr>
          <w:rFonts w:ascii="Inter" w:cs="Inter" w:eastAsia="Inter" w:hAnsi="Inter"/>
          <w:b/>
          <w:bCs/>
          <w:color w:val="081A33"/>
          <w:sz w:val="24"/>
          <w:szCs w:val="24"/>
        </w:rPr>
        <w:t xml:space="preserve">Data Protection</w:t>
      </w:r>
    </w:p>
    <w:p>
      <w:pPr>
        <w:spacing w:after="80" w:before="80" w:line="320"/>
      </w:pPr>
      <w:r>
        <w:rPr>
          <w:rFonts w:ascii="Inter" w:cs="Inter" w:eastAsia="Inter" w:hAnsi="Inter"/>
          <w:color w:val="374151"/>
          <w:sz w:val="22"/>
          <w:szCs w:val="22"/>
        </w:rPr>
        <w:t xml:space="preserve">Each party will comply with applicable data protection and privacy laws. Where personal data is processed as part of research activities, Oakwell will take reasonable steps to ensure such data is handled securely and ethically.</w:t>
      </w:r>
    </w:p>
    <w:p>
      <w:pPr>
        <w:spacing w:after="80" w:before="260"/>
      </w:pPr>
      <w:r>
        <w:rPr>
          <w:rFonts w:ascii="Consolas" w:cs="Consolas" w:eastAsia="Consolas" w:hAnsi="Consolas"/>
          <w:b/>
          <w:bCs/>
          <w:color w:val="C9A24B"/>
          <w:sz w:val="22"/>
          <w:szCs w:val="22"/>
        </w:rPr>
        <w:t xml:space="preserve">8.  </w:t>
      </w:r>
      <w:r>
        <w:rPr>
          <w:rFonts w:ascii="Inter" w:cs="Inter" w:eastAsia="Inter" w:hAnsi="Inter"/>
          <w:b/>
          <w:bCs/>
          <w:color w:val="081A33"/>
          <w:sz w:val="24"/>
          <w:szCs w:val="24"/>
        </w:rPr>
        <w:t xml:space="preserve">Intellectual Property</w:t>
      </w:r>
    </w:p>
    <w:p>
      <w:pPr>
        <w:spacing w:after="80" w:before="80" w:line="320"/>
      </w:pPr>
      <w:r>
        <w:rPr>
          <w:rFonts w:ascii="Inter" w:cs="Inter" w:eastAsia="Inter" w:hAnsi="Inter"/>
          <w:color w:val="374151"/>
          <w:sz w:val="22"/>
          <w:szCs w:val="22"/>
        </w:rPr>
        <w:t xml:space="preserve">8.1 Upon full payment, the Client will own the final deliverables produced specifically for them.</w:t>
      </w:r>
    </w:p>
    <w:p>
      <w:pPr>
        <w:spacing w:after="80" w:before="80" w:line="320"/>
      </w:pPr>
      <w:r>
        <w:rPr>
          <w:rFonts w:ascii="Inter" w:cs="Inter" w:eastAsia="Inter" w:hAnsi="Inter"/>
          <w:color w:val="374151"/>
          <w:sz w:val="22"/>
          <w:szCs w:val="22"/>
        </w:rPr>
        <w:t xml:space="preserve">8.2 Oakwell retains ownership of its pre-existing materials, tools, frameworks, methodologies and know-how.</w:t>
      </w:r>
    </w:p>
    <w:p>
      <w:pPr>
        <w:spacing w:after="80" w:before="80" w:line="320"/>
      </w:pPr>
      <w:r>
        <w:rPr>
          <w:rFonts w:ascii="Inter" w:cs="Inter" w:eastAsia="Inter" w:hAnsi="Inter"/>
          <w:color w:val="374151"/>
          <w:sz w:val="22"/>
          <w:szCs w:val="22"/>
        </w:rPr>
        <w:t xml:space="preserve">8.3 Oakwell may reuse anonymised and aggregated insights for internal purposes or thought leadership.</w:t>
      </w:r>
    </w:p>
    <w:p>
      <w:pPr>
        <w:spacing w:after="80" w:before="260"/>
      </w:pPr>
      <w:r>
        <w:rPr>
          <w:rFonts w:ascii="Consolas" w:cs="Consolas" w:eastAsia="Consolas" w:hAnsi="Consolas"/>
          <w:b/>
          <w:bCs/>
          <w:color w:val="C9A24B"/>
          <w:sz w:val="22"/>
          <w:szCs w:val="22"/>
        </w:rPr>
        <w:t xml:space="preserve">9.  </w:t>
      </w:r>
      <w:r>
        <w:rPr>
          <w:rFonts w:ascii="Inter" w:cs="Inter" w:eastAsia="Inter" w:hAnsi="Inter"/>
          <w:b/>
          <w:bCs/>
          <w:color w:val="081A33"/>
          <w:sz w:val="24"/>
          <w:szCs w:val="24"/>
        </w:rPr>
        <w:t xml:space="preserve">Fees &amp; Payment</w:t>
      </w:r>
    </w:p>
    <w:p>
      <w:pPr>
        <w:spacing w:after="80" w:before="80" w:line="320"/>
      </w:pPr>
      <w:r>
        <w:rPr>
          <w:rFonts w:ascii="Inter" w:cs="Inter" w:eastAsia="Inter" w:hAnsi="Inter"/>
          <w:color w:val="374151"/>
          <w:sz w:val="22"/>
          <w:szCs w:val="22"/>
        </w:rPr>
        <w:t xml:space="preserve">9.1 Fees are as set out in the relevant proposal or engagement schedule.</w:t>
      </w:r>
    </w:p>
    <w:p>
      <w:pPr>
        <w:spacing w:after="80" w:before="80" w:line="320"/>
      </w:pPr>
      <w:r>
        <w:rPr>
          <w:rFonts w:ascii="Inter" w:cs="Inter" w:eastAsia="Inter" w:hAnsi="Inter"/>
          <w:color w:val="374151"/>
          <w:sz w:val="22"/>
          <w:szCs w:val="22"/>
        </w:rPr>
        <w:t xml:space="preserve">9.2 Invoices are payable within thirty (30) days.</w:t>
      </w:r>
    </w:p>
    <w:p>
      <w:pPr>
        <w:spacing w:after="80" w:before="80" w:line="320"/>
      </w:pPr>
      <w:r>
        <w:rPr>
          <w:rFonts w:ascii="Inter" w:cs="Inter" w:eastAsia="Inter" w:hAnsi="Inter"/>
          <w:color w:val="374151"/>
          <w:sz w:val="22"/>
          <w:szCs w:val="22"/>
        </w:rPr>
        <w:t xml:space="preserve">9.3 Oakwell reserves the right to suspend services in respect of overdue invoices.</w:t>
      </w:r>
    </w:p>
    <w:p>
      <w:pPr>
        <w:spacing w:after="80" w:before="260"/>
      </w:pPr>
      <w:r>
        <w:rPr>
          <w:rFonts w:ascii="Consolas" w:cs="Consolas" w:eastAsia="Consolas" w:hAnsi="Consolas"/>
          <w:b/>
          <w:bCs/>
          <w:color w:val="C9A24B"/>
          <w:sz w:val="22"/>
          <w:szCs w:val="22"/>
        </w:rPr>
        <w:t xml:space="preserve">10.  </w:t>
      </w:r>
      <w:r>
        <w:rPr>
          <w:rFonts w:ascii="Inter" w:cs="Inter" w:eastAsia="Inter" w:hAnsi="Inter"/>
          <w:b/>
          <w:bCs/>
          <w:color w:val="081A33"/>
          <w:sz w:val="24"/>
          <w:szCs w:val="24"/>
        </w:rPr>
        <w:t xml:space="preserve">Service Limitations</w:t>
      </w:r>
    </w:p>
    <w:p>
      <w:pPr>
        <w:spacing w:after="80" w:before="80" w:line="320"/>
      </w:pPr>
      <w:r>
        <w:rPr>
          <w:rFonts w:ascii="Inter" w:cs="Inter" w:eastAsia="Inter" w:hAnsi="Inter"/>
          <w:color w:val="374151"/>
          <w:sz w:val="22"/>
          <w:szCs w:val="22"/>
        </w:rPr>
        <w:t xml:space="preserve">Oakwell provides research and advisory services to support decision-making. Oakwell does not guarantee specific commercial outcomes, and all decisions taken based on the services remain the responsibility of the Client.</w:t>
      </w:r>
    </w:p>
    <w:p>
      <w:pPr>
        <w:spacing w:after="80" w:before="260"/>
      </w:pPr>
      <w:r>
        <w:rPr>
          <w:rFonts w:ascii="Consolas" w:cs="Consolas" w:eastAsia="Consolas" w:hAnsi="Consolas"/>
          <w:b/>
          <w:bCs/>
          <w:color w:val="C9A24B"/>
          <w:sz w:val="22"/>
          <w:szCs w:val="22"/>
        </w:rPr>
        <w:t xml:space="preserve">11.  </w:t>
      </w:r>
      <w:r>
        <w:rPr>
          <w:rFonts w:ascii="Inter" w:cs="Inter" w:eastAsia="Inter" w:hAnsi="Inter"/>
          <w:b/>
          <w:bCs/>
          <w:color w:val="081A33"/>
          <w:sz w:val="24"/>
          <w:szCs w:val="24"/>
        </w:rPr>
        <w:t xml:space="preserve">Term &amp; Termination</w:t>
      </w:r>
    </w:p>
    <w:p>
      <w:pPr>
        <w:spacing w:after="80" w:before="80" w:line="320"/>
      </w:pPr>
      <w:r>
        <w:rPr>
          <w:rFonts w:ascii="Inter" w:cs="Inter" w:eastAsia="Inter" w:hAnsi="Inter"/>
          <w:color w:val="374151"/>
          <w:sz w:val="22"/>
          <w:szCs w:val="22"/>
        </w:rPr>
        <w:t xml:space="preserve">11.1 This SLA commences on the Effective Date and continues until terminated.</w:t>
      </w:r>
    </w:p>
    <w:p>
      <w:pPr>
        <w:spacing w:after="80" w:before="80" w:line="320"/>
      </w:pPr>
      <w:r>
        <w:rPr>
          <w:rFonts w:ascii="Inter" w:cs="Inter" w:eastAsia="Inter" w:hAnsi="Inter"/>
          <w:color w:val="374151"/>
          <w:sz w:val="22"/>
          <w:szCs w:val="22"/>
        </w:rPr>
        <w:t xml:space="preserve">11.2 Either party may terminate this Agreement by giving fifteen (15) days' written notice.</w:t>
      </w:r>
    </w:p>
    <w:p>
      <w:pPr>
        <w:spacing w:after="80" w:before="80" w:line="320"/>
      </w:pPr>
      <w:r>
        <w:rPr>
          <w:rFonts w:ascii="Inter" w:cs="Inter" w:eastAsia="Inter" w:hAnsi="Inter"/>
          <w:color w:val="374151"/>
          <w:sz w:val="22"/>
          <w:szCs w:val="22"/>
        </w:rPr>
        <w:t xml:space="preserve">11.3 Fees for services delivered up to the termination date remain payable.</w:t>
      </w:r>
    </w:p>
    <w:p>
      <w:pPr>
        <w:spacing w:after="80" w:before="260"/>
      </w:pPr>
      <w:r>
        <w:rPr>
          <w:rFonts w:ascii="Consolas" w:cs="Consolas" w:eastAsia="Consolas" w:hAnsi="Consolas"/>
          <w:b/>
          <w:bCs/>
          <w:color w:val="C9A24B"/>
          <w:sz w:val="22"/>
          <w:szCs w:val="22"/>
        </w:rPr>
        <w:t xml:space="preserve">12.  </w:t>
      </w:r>
      <w:r>
        <w:rPr>
          <w:rFonts w:ascii="Inter" w:cs="Inter" w:eastAsia="Inter" w:hAnsi="Inter"/>
          <w:b/>
          <w:bCs/>
          <w:color w:val="081A33"/>
          <w:sz w:val="24"/>
          <w:szCs w:val="24"/>
        </w:rPr>
        <w:t xml:space="preserve">Liability</w:t>
      </w:r>
    </w:p>
    <w:p>
      <w:pPr>
        <w:spacing w:after="80" w:before="80" w:line="320"/>
      </w:pPr>
      <w:r>
        <w:rPr>
          <w:rFonts w:ascii="Inter" w:cs="Inter" w:eastAsia="Inter" w:hAnsi="Inter"/>
          <w:color w:val="374151"/>
          <w:sz w:val="22"/>
          <w:szCs w:val="22"/>
        </w:rPr>
        <w:t xml:space="preserve">To the maximum extent permitted by law, Oakwell's total liability arising under this Agreement is limited to the fees paid by the Client for the services giving rise to the claim.</w:t>
      </w:r>
    </w:p>
    <w:p>
      <w:pPr>
        <w:spacing w:after="80" w:before="260"/>
      </w:pPr>
      <w:r>
        <w:rPr>
          <w:rFonts w:ascii="Consolas" w:cs="Consolas" w:eastAsia="Consolas" w:hAnsi="Consolas"/>
          <w:b/>
          <w:bCs/>
          <w:color w:val="C9A24B"/>
          <w:sz w:val="22"/>
          <w:szCs w:val="22"/>
        </w:rPr>
        <w:t xml:space="preserve">13.  </w:t>
      </w:r>
      <w:r>
        <w:rPr>
          <w:rFonts w:ascii="Inter" w:cs="Inter" w:eastAsia="Inter" w:hAnsi="Inter"/>
          <w:b/>
          <w:bCs/>
          <w:color w:val="081A33"/>
          <w:sz w:val="24"/>
          <w:szCs w:val="24"/>
        </w:rPr>
        <w:t xml:space="preserve">Force Majeure</w:t>
      </w:r>
    </w:p>
    <w:p>
      <w:pPr>
        <w:spacing w:after="80" w:before="80" w:line="320"/>
      </w:pPr>
      <w:r>
        <w:rPr>
          <w:rFonts w:ascii="Inter" w:cs="Inter" w:eastAsia="Inter" w:hAnsi="Inter"/>
          <w:color w:val="374151"/>
          <w:sz w:val="22"/>
          <w:szCs w:val="22"/>
        </w:rPr>
        <w:t xml:space="preserve">Neither party shall be liable for failure or delay in performance caused by events beyond their reasonable control.</w:t>
      </w:r>
    </w:p>
    <w:p>
      <w:pPr>
        <w:spacing w:after="80" w:before="260"/>
      </w:pPr>
      <w:r>
        <w:rPr>
          <w:rFonts w:ascii="Consolas" w:cs="Consolas" w:eastAsia="Consolas" w:hAnsi="Consolas"/>
          <w:b/>
          <w:bCs/>
          <w:color w:val="C9A24B"/>
          <w:sz w:val="22"/>
          <w:szCs w:val="22"/>
        </w:rPr>
        <w:t xml:space="preserve">14.  </w:t>
      </w:r>
      <w:r>
        <w:rPr>
          <w:rFonts w:ascii="Inter" w:cs="Inter" w:eastAsia="Inter" w:hAnsi="Inter"/>
          <w:b/>
          <w:bCs/>
          <w:color w:val="081A33"/>
          <w:sz w:val="24"/>
          <w:szCs w:val="24"/>
        </w:rPr>
        <w:t xml:space="preserve">General</w:t>
      </w:r>
    </w:p>
    <w:p>
      <w:pPr>
        <w:spacing w:after="80" w:before="80" w:line="320"/>
      </w:pPr>
      <w:r>
        <w:rPr>
          <w:rFonts w:ascii="Inter" w:cs="Inter" w:eastAsia="Inter" w:hAnsi="Inter"/>
          <w:color w:val="374151"/>
          <w:sz w:val="22"/>
          <w:szCs w:val="22"/>
        </w:rPr>
        <w:t xml:space="preserve">This SLA is a framework agreement and should be read alongside the relevant proposal or engagement schedule. In the event of conflict, the engagement schedule shall take precedence.</w:t>
      </w:r>
    </w:p>
    <w:p>
      <w:r>
        <w:br w:type="page"/>
      </w:r>
    </w:p>
    <w:p>
      <w:pPr>
        <w:spacing w:after="60" w:before="200"/>
      </w:pPr>
      <w:r>
        <w:rPr>
          <w:rFonts w:ascii="Inter" w:cs="Inter" w:eastAsia="Inter" w:hAnsi="Inter"/>
          <w:b/>
          <w:bCs/>
          <w:color w:val="0F3D63"/>
          <w:spacing w:val="40"/>
          <w:sz w:val="16"/>
          <w:szCs w:val="16"/>
        </w:rPr>
        <w:t xml:space="preserve">ACCEPTANCE</w:t>
      </w:r>
    </w:p>
    <w:p>
      <w:pPr>
        <w:pStyle w:val="Heading2"/>
        <w:spacing w:after="140" w:before="260"/>
      </w:pPr>
      <w:r>
        <w:rPr>
          <w:rFonts w:ascii="Playfair Display" w:cs="Playfair Display" w:eastAsia="Playfair Display" w:hAnsi="Playfair Display"/>
          <w:b w:val="false"/>
          <w:bCs w:val="false"/>
          <w:color w:val="081A33"/>
        </w:rPr>
        <w:t xml:space="preserve">Signed by the parties.</w:t>
      </w:r>
    </w:p>
    <w:p>
      <w:pPr>
        <w:spacing w:after="80" w:before="80" w:line="320"/>
      </w:pPr>
      <w:r>
        <w:rPr>
          <w:rFonts w:ascii="Inter" w:cs="Inter" w:eastAsia="Inter" w:hAnsi="Inter"/>
          <w:color w:val="374151"/>
          <w:sz w:val="22"/>
          <w:szCs w:val="22"/>
        </w:rPr>
        <w:t xml:space="preserve">By signing below the parties agree to be bound by the terms of this Service Level Agreement. This document is executed in duplicate.</w:t>
      </w:r>
    </w:p>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SIGNED FOR AND ON BEHALF OF OAKWELL CONSULTING LTD</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SIGNED FOR AND ON BEHALF OF THE CLIENT</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r>
    </w:tbl>
    <w:p>
      <w:pPr>
        <w:sectPr>
          <w:footerReference w:type="default" r:id="rId11"/>
          <w:pgSz w:w="11906" w:h="16838" w:orient="portrait"/>
          <w:pgMar w:top="1080" w:right="1080" w:bottom="1080" w:left="1080" w:header="708" w:footer="708" w:gutter="0"/>
          <w:pgNumType/>
          <w:docGrid w:linePitch="360"/>
        </w:sectPr>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81A33" w:val="clear"/>
            <w:tcMar>
              <w:top w:type="dxa" w:w="900"/>
              <w:left w:type="dxa" w:w="700"/>
              <w:bottom w:type="dxa" w:w="900"/>
              <w:right w:type="dxa" w:w="700"/>
            </w:tcMar>
          </w:tcPr>
          <w:p>
            <w:r>
              <w:rPr>
                <w:rFonts w:ascii="Playfair Display" w:cs="Playfair Display" w:eastAsia="Playfair Display" w:hAnsi="Playfair Display"/>
                <w:b/>
                <w:bCs/>
                <w:color w:val="F5F7FA"/>
                <w:spacing w:val="60"/>
                <w:sz w:val="28"/>
                <w:szCs w:val="28"/>
              </w:rPr>
              <w:t xml:space="preserve">OAKWELL   CONSULTING · LTD</w:t>
            </w:r>
          </w:p>
          <w:p>
            <w:pPr>
              <w:spacing w:before="1200"/>
            </w:pPr>
            <w:r>
              <w:rPr>
                <w:rFonts w:ascii="Inter" w:cs="Inter" w:eastAsia="Inter" w:hAnsi="Inter"/>
                <w:b/>
                <w:bCs/>
                <w:color w:val="C9A24B"/>
                <w:spacing w:val="80"/>
                <w:sz w:val="18"/>
                <w:szCs w:val="18"/>
              </w:rPr>
              <w:t xml:space="preserve">TERMS &amp; CONDITIONS</w:t>
            </w:r>
          </w:p>
          <w:p>
            <w:pPr>
              <w:spacing w:before="240"/>
            </w:pPr>
            <w:r>
              <w:rPr>
                <w:rFonts w:ascii="Playfair Display" w:cs="Playfair Display" w:eastAsia="Playfair Display" w:hAnsi="Playfair Display"/>
                <w:color w:val="F5F7FA"/>
                <w:sz w:val="96"/>
                <w:szCs w:val="96"/>
              </w:rPr>
              <w:t xml:space="preserve">The terms</w:t>
            </w:r>
          </w:p>
          <w:p>
            <w:pPr>
              <w:spacing w:before="320"/>
            </w:pPr>
            <w:r>
              <w:rPr>
                <w:rFonts w:ascii="Playfair Display" w:cs="Playfair Display" w:eastAsia="Playfair Display" w:hAnsi="Playfair Display"/>
                <w:i/>
                <w:iCs/>
                <w:color w:val="8FA8C9"/>
                <w:sz w:val="40"/>
                <w:szCs w:val="40"/>
              </w:rPr>
              <w:t xml:space="preserve">of engagement.</w:t>
            </w:r>
          </w:p>
          <w:p>
            <w:pPr>
              <w:pBdr>
                <w:top w:val="single" w:color="C9A24B" w:sz="6" w:space="12"/>
              </w:pBdr>
              <w:spacing w:before="1200"/>
            </w:pPr>
          </w:p>
          <w:p>
            <w:pPr>
              <w:spacing w:before="240"/>
            </w:pPr>
            <w:r>
              <w:rPr>
                <w:rFonts w:ascii="Inter" w:cs="Inter" w:eastAsia="Inter" w:hAnsi="Inter"/>
                <w:color w:val="F5F7FA"/>
                <w:spacing w:val="40"/>
                <w:sz w:val="18"/>
                <w:szCs w:val="18"/>
              </w:rPr>
              <w:t xml:space="preserve">COMMERCIAL · LEGAL   ·   OAKWELL CONSULTING LTD   ·   V1.0</w:t>
            </w:r>
          </w:p>
        </w:tc>
      </w:tr>
    </w:tbl>
    <w:p>
      <w:r>
        <w:br w:type="page"/>
      </w:r>
    </w:p>
    <w:p>
      <w:pPr>
        <w:spacing w:after="60" w:before="200"/>
      </w:pPr>
      <w:r>
        <w:rPr>
          <w:rFonts w:ascii="Inter" w:cs="Inter" w:eastAsia="Inter" w:hAnsi="Inter"/>
          <w:b/>
          <w:bCs/>
          <w:color w:val="0F3D63"/>
          <w:spacing w:val="40"/>
          <w:sz w:val="16"/>
          <w:szCs w:val="16"/>
        </w:rPr>
        <w:t xml:space="preserve">DOCUMENT INFORMATION</w:t>
      </w:r>
    </w:p>
    <w:p>
      <w:pPr>
        <w:pStyle w:val="Heading2"/>
        <w:spacing w:after="140" w:before="260"/>
      </w:pPr>
      <w:r>
        <w:rPr>
          <w:rFonts w:ascii="Playfair Display" w:cs="Playfair Display" w:eastAsia="Playfair Display" w:hAnsi="Playfair Display"/>
          <w:b w:val="false"/>
          <w:bCs w:val="false"/>
          <w:color w:val="081A33"/>
        </w:rPr>
        <w:t xml:space="preserve">Version control.</w:t>
      </w:r>
    </w:p>
    <w:p>
      <w:pPr>
        <w:spacing w:before="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Document title</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Terms &amp; Conditions</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Version</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v1.0</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Effective date</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[DD MMM YYYY]</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Owner</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Oakwell Consulting Ltd</w:t>
            </w:r>
          </w:p>
        </w:tc>
      </w:tr>
      <w:tr>
        <w:tc>
          <w:tcPr>
            <w:tcW w:type="dxa" w:w="3000"/>
            <w:tcBorders>
              <w:top w:val="single" w:color="E5E7EB" w:sz="4"/>
              <w:left w:val="single" w:color="E5E7EB" w:sz="4"/>
              <w:bottom w:val="single" w:color="E5E7EB" w:sz="4"/>
              <w:right w:val="single" w:color="E5E7EB" w:sz="4"/>
            </w:tcBorders>
            <w:shd w:fill="F5F7FA" w:val="clear"/>
            <w:tcMar>
              <w:top w:type="dxa" w:w="100"/>
              <w:left w:type="dxa" w:w="140"/>
              <w:bottom w:type="dxa" w:w="100"/>
              <w:right w:type="dxa" w:w="140"/>
            </w:tcMar>
          </w:tcPr>
          <w:p>
            <w:r>
              <w:rPr>
                <w:rFonts w:ascii="Inter" w:cs="Inter" w:eastAsia="Inter" w:hAnsi="Inter"/>
                <w:b/>
                <w:bCs/>
                <w:color w:val="475569"/>
                <w:sz w:val="20"/>
                <w:szCs w:val="20"/>
              </w:rPr>
              <w:t xml:space="preserve">Governing law</w:t>
            </w:r>
          </w:p>
        </w:tc>
        <w:tc>
          <w:tcPr>
            <w:tcW w:type="dxa" w:w="6360"/>
            <w:tcBorders>
              <w:top w:val="single" w:color="E5E7EB" w:sz="4"/>
              <w:left w:val="single" w:color="E5E7EB" w:sz="4"/>
              <w:bottom w:val="single" w:color="E5E7EB" w:sz="4"/>
              <w:right w:val="single" w:color="E5E7EB" w:sz="4"/>
            </w:tcBorders>
            <w:tcMar>
              <w:top w:type="dxa" w:w="100"/>
              <w:left w:type="dxa" w:w="140"/>
              <w:bottom w:type="dxa" w:w="100"/>
              <w:right w:type="dxa" w:w="140"/>
            </w:tcMar>
          </w:tcPr>
          <w:p>
            <w:r>
              <w:rPr>
                <w:rFonts w:ascii="Inter" w:cs="Inter" w:eastAsia="Inter" w:hAnsi="Inter"/>
                <w:color w:val="1F2937"/>
                <w:sz w:val="22"/>
                <w:szCs w:val="22"/>
              </w:rPr>
              <w:t xml:space="preserve">England &amp; Wales</w:t>
            </w:r>
          </w:p>
        </w:tc>
      </w:tr>
    </w:tbl>
    <w:p>
      <w:pPr>
        <w:spacing w:before="400"/>
      </w:pPr>
    </w:p>
    <w:p>
      <w:pPr>
        <w:spacing w:after="60" w:before="200"/>
      </w:pPr>
      <w:r>
        <w:rPr>
          <w:rFonts w:ascii="Inter" w:cs="Inter" w:eastAsia="Inter" w:hAnsi="Inter"/>
          <w:b/>
          <w:bCs/>
          <w:color w:val="0F3D63"/>
          <w:spacing w:val="40"/>
          <w:sz w:val="16"/>
          <w:szCs w:val="16"/>
        </w:rPr>
        <w:t xml:space="preserve">TABLE OF CONTENTS</w:t>
      </w:r>
    </w:p>
    <w:p>
      <w:pPr>
        <w:pBdr>
          <w:bottom w:val="single" w:color="E5E7EB" w:sz="4" w:space="4"/>
        </w:pBdr>
        <w:spacing w:after="60" w:before="60"/>
      </w:pPr>
      <w:r>
        <w:rPr>
          <w:rFonts w:ascii="Inter" w:cs="Inter" w:eastAsia="Inter" w:hAnsi="Inter"/>
          <w:color w:val="1F2937"/>
          <w:sz w:val="22"/>
          <w:szCs w:val="22"/>
        </w:rPr>
        <w:t xml:space="preserve">01 · Definitions</w:t>
      </w:r>
    </w:p>
    <w:p>
      <w:pPr>
        <w:pBdr>
          <w:bottom w:val="single" w:color="E5E7EB" w:sz="4" w:space="4"/>
        </w:pBdr>
        <w:spacing w:after="60" w:before="60"/>
      </w:pPr>
      <w:r>
        <w:rPr>
          <w:rFonts w:ascii="Inter" w:cs="Inter" w:eastAsia="Inter" w:hAnsi="Inter"/>
          <w:color w:val="1F2937"/>
          <w:sz w:val="22"/>
          <w:szCs w:val="22"/>
        </w:rPr>
        <w:t xml:space="preserve">02 · Scope of Services</w:t>
      </w:r>
    </w:p>
    <w:p>
      <w:pPr>
        <w:pBdr>
          <w:bottom w:val="single" w:color="E5E7EB" w:sz="4" w:space="4"/>
        </w:pBdr>
        <w:spacing w:after="60" w:before="60"/>
      </w:pPr>
      <w:r>
        <w:rPr>
          <w:rFonts w:ascii="Inter" w:cs="Inter" w:eastAsia="Inter" w:hAnsi="Inter"/>
          <w:color w:val="1F2937"/>
          <w:sz w:val="22"/>
          <w:szCs w:val="22"/>
        </w:rPr>
        <w:t xml:space="preserve">03 · Engagement &amp; Acceptance</w:t>
      </w:r>
    </w:p>
    <w:p>
      <w:pPr>
        <w:pBdr>
          <w:bottom w:val="single" w:color="E5E7EB" w:sz="4" w:space="4"/>
        </w:pBdr>
        <w:spacing w:after="60" w:before="60"/>
      </w:pPr>
      <w:r>
        <w:rPr>
          <w:rFonts w:ascii="Inter" w:cs="Inter" w:eastAsia="Inter" w:hAnsi="Inter"/>
          <w:color w:val="1F2937"/>
          <w:sz w:val="22"/>
          <w:szCs w:val="22"/>
        </w:rPr>
        <w:t xml:space="preserve">04 · Fees &amp; Payment</w:t>
      </w:r>
    </w:p>
    <w:p>
      <w:pPr>
        <w:pBdr>
          <w:bottom w:val="single" w:color="E5E7EB" w:sz="4" w:space="4"/>
        </w:pBdr>
        <w:spacing w:after="60" w:before="60"/>
      </w:pPr>
      <w:r>
        <w:rPr>
          <w:rFonts w:ascii="Inter" w:cs="Inter" w:eastAsia="Inter" w:hAnsi="Inter"/>
          <w:color w:val="1F2937"/>
          <w:sz w:val="22"/>
          <w:szCs w:val="22"/>
        </w:rPr>
        <w:t xml:space="preserve">05 · Client Obligations</w:t>
      </w:r>
    </w:p>
    <w:p>
      <w:pPr>
        <w:pBdr>
          <w:bottom w:val="single" w:color="E5E7EB" w:sz="4" w:space="4"/>
        </w:pBdr>
        <w:spacing w:after="60" w:before="60"/>
      </w:pPr>
      <w:r>
        <w:rPr>
          <w:rFonts w:ascii="Inter" w:cs="Inter" w:eastAsia="Inter" w:hAnsi="Inter"/>
          <w:color w:val="1F2937"/>
          <w:sz w:val="22"/>
          <w:szCs w:val="22"/>
        </w:rPr>
        <w:t xml:space="preserve">06 · Intellectual Property</w:t>
      </w:r>
    </w:p>
    <w:p>
      <w:pPr>
        <w:pBdr>
          <w:bottom w:val="single" w:color="E5E7EB" w:sz="4" w:space="4"/>
        </w:pBdr>
        <w:spacing w:after="60" w:before="60"/>
      </w:pPr>
      <w:r>
        <w:rPr>
          <w:rFonts w:ascii="Inter" w:cs="Inter" w:eastAsia="Inter" w:hAnsi="Inter"/>
          <w:color w:val="1F2937"/>
          <w:sz w:val="22"/>
          <w:szCs w:val="22"/>
        </w:rPr>
        <w:t xml:space="preserve">07 · Confidentiality</w:t>
      </w:r>
    </w:p>
    <w:p>
      <w:pPr>
        <w:pBdr>
          <w:bottom w:val="single" w:color="E5E7EB" w:sz="4" w:space="4"/>
        </w:pBdr>
        <w:spacing w:after="60" w:before="60"/>
      </w:pPr>
      <w:r>
        <w:rPr>
          <w:rFonts w:ascii="Inter" w:cs="Inter" w:eastAsia="Inter" w:hAnsi="Inter"/>
          <w:color w:val="1F2937"/>
          <w:sz w:val="22"/>
          <w:szCs w:val="22"/>
        </w:rPr>
        <w:t xml:space="preserve">08 · Data Protection</w:t>
      </w:r>
    </w:p>
    <w:p>
      <w:pPr>
        <w:pBdr>
          <w:bottom w:val="single" w:color="E5E7EB" w:sz="4" w:space="4"/>
        </w:pBdr>
        <w:spacing w:after="60" w:before="60"/>
      </w:pPr>
      <w:r>
        <w:rPr>
          <w:rFonts w:ascii="Inter" w:cs="Inter" w:eastAsia="Inter" w:hAnsi="Inter"/>
          <w:color w:val="1F2937"/>
          <w:sz w:val="22"/>
          <w:szCs w:val="22"/>
        </w:rPr>
        <w:t xml:space="preserve">09 · Warranties &amp; Disclaimers</w:t>
      </w:r>
    </w:p>
    <w:p>
      <w:pPr>
        <w:pBdr>
          <w:bottom w:val="single" w:color="E5E7EB" w:sz="4" w:space="4"/>
        </w:pBdr>
        <w:spacing w:after="60" w:before="60"/>
      </w:pPr>
      <w:r>
        <w:rPr>
          <w:rFonts w:ascii="Inter" w:cs="Inter" w:eastAsia="Inter" w:hAnsi="Inter"/>
          <w:color w:val="1F2937"/>
          <w:sz w:val="22"/>
          <w:szCs w:val="22"/>
        </w:rPr>
        <w:t xml:space="preserve">10 · Limitation of Liability</w:t>
      </w:r>
    </w:p>
    <w:p>
      <w:pPr>
        <w:pBdr>
          <w:bottom w:val="single" w:color="E5E7EB" w:sz="4" w:space="4"/>
        </w:pBdr>
        <w:spacing w:after="60" w:before="60"/>
      </w:pPr>
      <w:r>
        <w:rPr>
          <w:rFonts w:ascii="Inter" w:cs="Inter" w:eastAsia="Inter" w:hAnsi="Inter"/>
          <w:color w:val="1F2937"/>
          <w:sz w:val="22"/>
          <w:szCs w:val="22"/>
        </w:rPr>
        <w:t xml:space="preserve">11 · Termination</w:t>
      </w:r>
    </w:p>
    <w:p>
      <w:pPr>
        <w:pBdr>
          <w:bottom w:val="single" w:color="E5E7EB" w:sz="4" w:space="4"/>
        </w:pBdr>
        <w:spacing w:after="60" w:before="60"/>
      </w:pPr>
      <w:r>
        <w:rPr>
          <w:rFonts w:ascii="Inter" w:cs="Inter" w:eastAsia="Inter" w:hAnsi="Inter"/>
          <w:color w:val="1F2937"/>
          <w:sz w:val="22"/>
          <w:szCs w:val="22"/>
        </w:rPr>
        <w:t xml:space="preserve">12 · Force Majeure</w:t>
      </w:r>
    </w:p>
    <w:p>
      <w:pPr>
        <w:pBdr>
          <w:bottom w:val="single" w:color="E5E7EB" w:sz="4" w:space="4"/>
        </w:pBdr>
        <w:spacing w:after="60" w:before="60"/>
      </w:pPr>
      <w:r>
        <w:rPr>
          <w:rFonts w:ascii="Inter" w:cs="Inter" w:eastAsia="Inter" w:hAnsi="Inter"/>
          <w:color w:val="1F2937"/>
          <w:sz w:val="22"/>
          <w:szCs w:val="22"/>
        </w:rPr>
        <w:t xml:space="preserve">13 · Non-Solicitation</w:t>
      </w:r>
    </w:p>
    <w:p>
      <w:pPr>
        <w:pBdr>
          <w:bottom w:val="single" w:color="E5E7EB" w:sz="4" w:space="4"/>
        </w:pBdr>
        <w:spacing w:after="60" w:before="60"/>
      </w:pPr>
      <w:r>
        <w:rPr>
          <w:rFonts w:ascii="Inter" w:cs="Inter" w:eastAsia="Inter" w:hAnsi="Inter"/>
          <w:color w:val="1F2937"/>
          <w:sz w:val="22"/>
          <w:szCs w:val="22"/>
        </w:rPr>
        <w:t xml:space="preserve">14 · Assignment &amp; Subcontracting</w:t>
      </w:r>
    </w:p>
    <w:p>
      <w:pPr>
        <w:pBdr>
          <w:bottom w:val="single" w:color="E5E7EB" w:sz="4" w:space="4"/>
        </w:pBdr>
        <w:spacing w:after="60" w:before="60"/>
      </w:pPr>
      <w:r>
        <w:rPr>
          <w:rFonts w:ascii="Inter" w:cs="Inter" w:eastAsia="Inter" w:hAnsi="Inter"/>
          <w:color w:val="1F2937"/>
          <w:sz w:val="22"/>
          <w:szCs w:val="22"/>
        </w:rPr>
        <w:t xml:space="preserve">15 · Governing Principles</w:t>
      </w:r>
    </w:p>
    <w:p>
      <w:pPr>
        <w:pBdr>
          <w:bottom w:val="single" w:color="E5E7EB" w:sz="4" w:space="4"/>
        </w:pBdr>
        <w:spacing w:after="60" w:before="60"/>
      </w:pPr>
      <w:r>
        <w:rPr>
          <w:rFonts w:ascii="Inter" w:cs="Inter" w:eastAsia="Inter" w:hAnsi="Inter"/>
          <w:color w:val="1F2937"/>
          <w:sz w:val="22"/>
          <w:szCs w:val="22"/>
        </w:rPr>
        <w:t xml:space="preserve">16 · Entire Agreement</w:t>
      </w:r>
    </w:p>
    <w:p>
      <w:pPr>
        <w:pBdr>
          <w:bottom w:val="single" w:color="E5E7EB" w:sz="4" w:space="4"/>
        </w:pBdr>
        <w:spacing w:after="60" w:before="60"/>
      </w:pPr>
      <w:r>
        <w:rPr>
          <w:rFonts w:ascii="Inter" w:cs="Inter" w:eastAsia="Inter" w:hAnsi="Inter"/>
          <w:color w:val="1F2937"/>
          <w:sz w:val="22"/>
          <w:szCs w:val="22"/>
        </w:rPr>
        <w:t xml:space="preserve">17 · Governing Law</w:t>
      </w:r>
    </w:p>
    <w:p>
      <w:r>
        <w:br w:type="page"/>
      </w:r>
    </w:p>
    <w:p>
      <w:pPr>
        <w:spacing w:after="60" w:before="200"/>
      </w:pPr>
      <w:r>
        <w:rPr>
          <w:rFonts w:ascii="Inter" w:cs="Inter" w:eastAsia="Inter" w:hAnsi="Inter"/>
          <w:b/>
          <w:bCs/>
          <w:color w:val="0F3D63"/>
          <w:spacing w:val="40"/>
          <w:sz w:val="16"/>
          <w:szCs w:val="16"/>
        </w:rPr>
        <w:t xml:space="preserve">CLAUSES 01 – 17</w:t>
      </w:r>
    </w:p>
    <w:p>
      <w:pPr>
        <w:pStyle w:val="Heading2"/>
        <w:spacing w:after="140" w:before="260"/>
      </w:pPr>
      <w:r>
        <w:rPr>
          <w:rFonts w:ascii="Playfair Display" w:cs="Playfair Display" w:eastAsia="Playfair Display" w:hAnsi="Playfair Display"/>
          <w:b w:val="false"/>
          <w:bCs w:val="false"/>
          <w:color w:val="081A33"/>
        </w:rPr>
        <w:t xml:space="preserve">Terms of engagement.</w:t>
      </w:r>
    </w:p>
    <w:p>
      <w:pPr>
        <w:spacing w:after="80" w:before="260"/>
      </w:pPr>
      <w:r>
        <w:rPr>
          <w:rFonts w:ascii="Consolas" w:cs="Consolas" w:eastAsia="Consolas" w:hAnsi="Consolas"/>
          <w:b/>
          <w:bCs/>
          <w:color w:val="C9A24B"/>
          <w:sz w:val="22"/>
          <w:szCs w:val="22"/>
        </w:rPr>
        <w:t xml:space="preserve">01.  </w:t>
      </w:r>
      <w:r>
        <w:rPr>
          <w:rFonts w:ascii="Inter" w:cs="Inter" w:eastAsia="Inter" w:hAnsi="Inter"/>
          <w:b/>
          <w:bCs/>
          <w:color w:val="081A33"/>
          <w:sz w:val="24"/>
          <w:szCs w:val="24"/>
        </w:rPr>
        <w:t xml:space="preserve">Definitions</w:t>
      </w:r>
    </w:p>
    <w:p>
      <w:pPr>
        <w:spacing w:after="80" w:before="80" w:line="320"/>
      </w:pPr>
      <w:r>
        <w:rPr>
          <w:rFonts w:ascii="Inter" w:cs="Inter" w:eastAsia="Inter" w:hAnsi="Inter"/>
          <w:color w:val="374151"/>
          <w:sz w:val="22"/>
          <w:szCs w:val="22"/>
        </w:rPr>
        <w:t xml:space="preserve">Service Provider — Oakwell Consulting Ltd.</w:t>
      </w:r>
    </w:p>
    <w:p>
      <w:pPr>
        <w:spacing w:after="80" w:before="80" w:line="320"/>
      </w:pPr>
      <w:r>
        <w:rPr>
          <w:rFonts w:ascii="Inter" w:cs="Inter" w:eastAsia="Inter" w:hAnsi="Inter"/>
          <w:color w:val="374151"/>
          <w:sz w:val="22"/>
          <w:szCs w:val="22"/>
        </w:rPr>
        <w:t xml:space="preserve">Client — the organisation engaging the Service Provider.</w:t>
      </w:r>
    </w:p>
    <w:p>
      <w:pPr>
        <w:spacing w:after="80" w:before="80" w:line="320"/>
      </w:pPr>
      <w:r>
        <w:rPr>
          <w:rFonts w:ascii="Inter" w:cs="Inter" w:eastAsia="Inter" w:hAnsi="Inter"/>
          <w:color w:val="374151"/>
          <w:sz w:val="22"/>
          <w:szCs w:val="22"/>
        </w:rPr>
        <w:t xml:space="preserve">Services — the research, insight and advisory services provided by the Service Provider.</w:t>
      </w:r>
    </w:p>
    <w:p>
      <w:pPr>
        <w:spacing w:after="80" w:before="80" w:line="320"/>
      </w:pPr>
      <w:r>
        <w:rPr>
          <w:rFonts w:ascii="Inter" w:cs="Inter" w:eastAsia="Inter" w:hAnsi="Inter"/>
          <w:color w:val="374151"/>
          <w:sz w:val="22"/>
          <w:szCs w:val="22"/>
        </w:rPr>
        <w:t xml:space="preserve">Agreement — any written proposal, engagement schedule or SLA governing the provision of Services.</w:t>
      </w:r>
    </w:p>
    <w:p>
      <w:pPr>
        <w:spacing w:after="80" w:before="260"/>
      </w:pPr>
      <w:r>
        <w:rPr>
          <w:rFonts w:ascii="Consolas" w:cs="Consolas" w:eastAsia="Consolas" w:hAnsi="Consolas"/>
          <w:b/>
          <w:bCs/>
          <w:color w:val="C9A24B"/>
          <w:sz w:val="22"/>
          <w:szCs w:val="22"/>
        </w:rPr>
        <w:t xml:space="preserve">02.  </w:t>
      </w:r>
      <w:r>
        <w:rPr>
          <w:rFonts w:ascii="Inter" w:cs="Inter" w:eastAsia="Inter" w:hAnsi="Inter"/>
          <w:b/>
          <w:bCs/>
          <w:color w:val="081A33"/>
          <w:sz w:val="24"/>
          <w:szCs w:val="24"/>
        </w:rPr>
        <w:t xml:space="preserve">Scope of Services</w:t>
      </w:r>
    </w:p>
    <w:p>
      <w:pPr>
        <w:spacing w:after="80" w:before="80" w:line="320"/>
      </w:pPr>
      <w:r>
        <w:rPr>
          <w:rFonts w:ascii="Inter" w:cs="Inter" w:eastAsia="Inter" w:hAnsi="Inter"/>
          <w:color w:val="374151"/>
          <w:sz w:val="22"/>
          <w:szCs w:val="22"/>
        </w:rPr>
        <w:t xml:space="preserve">The Service Provider shall provide the Services set out in the relevant Agreement.</w:t>
      </w:r>
    </w:p>
    <w:p>
      <w:pPr>
        <w:spacing w:after="80" w:before="80" w:line="320"/>
      </w:pPr>
      <w:r>
        <w:rPr>
          <w:rFonts w:ascii="Inter" w:cs="Inter" w:eastAsia="Inter" w:hAnsi="Inter"/>
          <w:color w:val="374151"/>
          <w:sz w:val="22"/>
          <w:szCs w:val="22"/>
        </w:rPr>
        <w:t xml:space="preserve">Any change to the scope must be agreed in writing and may result in revised fees or timelines.</w:t>
      </w:r>
    </w:p>
    <w:p>
      <w:pPr>
        <w:spacing w:after="80" w:before="260"/>
      </w:pPr>
      <w:r>
        <w:rPr>
          <w:rFonts w:ascii="Consolas" w:cs="Consolas" w:eastAsia="Consolas" w:hAnsi="Consolas"/>
          <w:b/>
          <w:bCs/>
          <w:color w:val="C9A24B"/>
          <w:sz w:val="22"/>
          <w:szCs w:val="22"/>
        </w:rPr>
        <w:t xml:space="preserve">03.  </w:t>
      </w:r>
      <w:r>
        <w:rPr>
          <w:rFonts w:ascii="Inter" w:cs="Inter" w:eastAsia="Inter" w:hAnsi="Inter"/>
          <w:b/>
          <w:bCs/>
          <w:color w:val="081A33"/>
          <w:sz w:val="24"/>
          <w:szCs w:val="24"/>
        </w:rPr>
        <w:t xml:space="preserve">Engagement &amp; Acceptance</w:t>
      </w:r>
    </w:p>
    <w:p>
      <w:pPr>
        <w:spacing w:after="80" w:before="80" w:line="320"/>
      </w:pPr>
      <w:r>
        <w:rPr>
          <w:rFonts w:ascii="Inter" w:cs="Inter" w:eastAsia="Inter" w:hAnsi="Inter"/>
          <w:color w:val="374151"/>
          <w:sz w:val="22"/>
          <w:szCs w:val="22"/>
        </w:rPr>
        <w:t xml:space="preserve">An engagement commences once the Client accepts a proposal, executes an Agreement, or instructs the Service Provider to begin work.</w:t>
      </w:r>
    </w:p>
    <w:p>
      <w:pPr>
        <w:spacing w:after="80" w:before="80" w:line="320"/>
      </w:pPr>
      <w:r>
        <w:rPr>
          <w:rFonts w:ascii="Inter" w:cs="Inter" w:eastAsia="Inter" w:hAnsi="Inter"/>
          <w:color w:val="374151"/>
          <w:sz w:val="22"/>
          <w:szCs w:val="22"/>
        </w:rPr>
        <w:t xml:space="preserve">These Terms form part of every Agreement unless expressly excluded in writing.</w:t>
      </w:r>
    </w:p>
    <w:p>
      <w:pPr>
        <w:spacing w:after="80" w:before="260"/>
      </w:pPr>
      <w:r>
        <w:rPr>
          <w:rFonts w:ascii="Consolas" w:cs="Consolas" w:eastAsia="Consolas" w:hAnsi="Consolas"/>
          <w:b/>
          <w:bCs/>
          <w:color w:val="C9A24B"/>
          <w:sz w:val="22"/>
          <w:szCs w:val="22"/>
        </w:rPr>
        <w:t xml:space="preserve">04.  </w:t>
      </w:r>
      <w:r>
        <w:rPr>
          <w:rFonts w:ascii="Inter" w:cs="Inter" w:eastAsia="Inter" w:hAnsi="Inter"/>
          <w:b/>
          <w:bCs/>
          <w:color w:val="081A33"/>
          <w:sz w:val="24"/>
          <w:szCs w:val="24"/>
        </w:rPr>
        <w:t xml:space="preserve">Fees &amp; Payment</w:t>
      </w:r>
    </w:p>
    <w:p>
      <w:pPr>
        <w:spacing w:after="80" w:before="80" w:line="320"/>
      </w:pPr>
      <w:r>
        <w:rPr>
          <w:rFonts w:ascii="Inter" w:cs="Inter" w:eastAsia="Inter" w:hAnsi="Inter"/>
          <w:color w:val="374151"/>
          <w:sz w:val="22"/>
          <w:szCs w:val="22"/>
        </w:rPr>
        <w:t xml:space="preserve">Fees are as set out in the applicable Agreement.</w:t>
      </w:r>
    </w:p>
    <w:p>
      <w:pPr>
        <w:spacing w:after="80" w:before="80" w:line="320"/>
      </w:pPr>
      <w:r>
        <w:rPr>
          <w:rFonts w:ascii="Inter" w:cs="Inter" w:eastAsia="Inter" w:hAnsi="Inter"/>
          <w:color w:val="374151"/>
          <w:sz w:val="22"/>
          <w:szCs w:val="22"/>
        </w:rPr>
        <w:t xml:space="preserve">Unless otherwise stated, invoices are payable within thirty (30) days of the invoice date.</w:t>
      </w:r>
    </w:p>
    <w:p>
      <w:pPr>
        <w:spacing w:after="80" w:before="80" w:line="320"/>
      </w:pPr>
      <w:r>
        <w:rPr>
          <w:rFonts w:ascii="Inter" w:cs="Inter" w:eastAsia="Inter" w:hAnsi="Inter"/>
          <w:color w:val="374151"/>
          <w:sz w:val="22"/>
          <w:szCs w:val="22"/>
        </w:rPr>
        <w:t xml:space="preserve">The Service Provider may suspend Services where invoices remain unpaid beyond the agreed payment terms.</w:t>
      </w:r>
    </w:p>
    <w:p>
      <w:pPr>
        <w:spacing w:after="80" w:before="80" w:line="320"/>
      </w:pPr>
      <w:r>
        <w:rPr>
          <w:rFonts w:ascii="Inter" w:cs="Inter" w:eastAsia="Inter" w:hAnsi="Inter"/>
          <w:color w:val="374151"/>
          <w:sz w:val="22"/>
          <w:szCs w:val="22"/>
        </w:rPr>
        <w:t xml:space="preserve">The Client is responsible for all applicable taxes unless otherwise stated.</w:t>
      </w:r>
    </w:p>
    <w:p>
      <w:pPr>
        <w:spacing w:after="80" w:before="260"/>
      </w:pPr>
      <w:r>
        <w:rPr>
          <w:rFonts w:ascii="Consolas" w:cs="Consolas" w:eastAsia="Consolas" w:hAnsi="Consolas"/>
          <w:b/>
          <w:bCs/>
          <w:color w:val="C9A24B"/>
          <w:sz w:val="22"/>
          <w:szCs w:val="22"/>
        </w:rPr>
        <w:t xml:space="preserve">05.  </w:t>
      </w:r>
      <w:r>
        <w:rPr>
          <w:rFonts w:ascii="Inter" w:cs="Inter" w:eastAsia="Inter" w:hAnsi="Inter"/>
          <w:b/>
          <w:bCs/>
          <w:color w:val="081A33"/>
          <w:sz w:val="24"/>
          <w:szCs w:val="24"/>
        </w:rPr>
        <w:t xml:space="preserve">Client Obligations</w:t>
      </w:r>
    </w:p>
    <w:p>
      <w:pPr>
        <w:spacing w:after="80" w:before="80" w:line="320"/>
      </w:pPr>
      <w:r>
        <w:rPr>
          <w:rFonts w:ascii="Inter" w:cs="Inter" w:eastAsia="Inter" w:hAnsi="Inter"/>
          <w:color w:val="374151"/>
          <w:sz w:val="22"/>
          <w:szCs w:val="22"/>
        </w:rPr>
        <w:t xml:space="preserve">Provide timely and accurate information required for the Services.</w:t>
      </w:r>
    </w:p>
    <w:p>
      <w:pPr>
        <w:spacing w:after="80" w:before="80" w:line="320"/>
      </w:pPr>
      <w:r>
        <w:rPr>
          <w:rFonts w:ascii="Inter" w:cs="Inter" w:eastAsia="Inter" w:hAnsi="Inter"/>
          <w:color w:val="374151"/>
          <w:sz w:val="22"/>
          <w:szCs w:val="22"/>
        </w:rPr>
        <w:t xml:space="preserve">Ensure all supplied materials comply with applicable laws.</w:t>
      </w:r>
    </w:p>
    <w:p>
      <w:pPr>
        <w:spacing w:after="80" w:before="80" w:line="320"/>
      </w:pPr>
      <w:r>
        <w:rPr>
          <w:rFonts w:ascii="Inter" w:cs="Inter" w:eastAsia="Inter" w:hAnsi="Inter"/>
          <w:color w:val="374151"/>
          <w:sz w:val="22"/>
          <w:szCs w:val="22"/>
        </w:rPr>
        <w:t xml:space="preserve">Respond to requests for feedback or approval within reasonable timeframes.</w:t>
      </w:r>
    </w:p>
    <w:p>
      <w:pPr>
        <w:spacing w:after="80" w:before="80" w:line="320"/>
      </w:pPr>
      <w:r>
        <w:rPr>
          <w:rFonts w:ascii="Inter" w:cs="Inter" w:eastAsia="Inter" w:hAnsi="Inter"/>
          <w:color w:val="374151"/>
          <w:sz w:val="22"/>
          <w:szCs w:val="22"/>
        </w:rPr>
        <w:t xml:space="preserve">Appoint a primary point of contact with authority to make decisions.</w:t>
      </w:r>
    </w:p>
    <w:p>
      <w:pPr>
        <w:spacing w:after="80" w:before="260"/>
      </w:pPr>
      <w:r>
        <w:rPr>
          <w:rFonts w:ascii="Consolas" w:cs="Consolas" w:eastAsia="Consolas" w:hAnsi="Consolas"/>
          <w:b/>
          <w:bCs/>
          <w:color w:val="C9A24B"/>
          <w:sz w:val="22"/>
          <w:szCs w:val="22"/>
        </w:rPr>
        <w:t xml:space="preserve">06.  </w:t>
      </w:r>
      <w:r>
        <w:rPr>
          <w:rFonts w:ascii="Inter" w:cs="Inter" w:eastAsia="Inter" w:hAnsi="Inter"/>
          <w:b/>
          <w:bCs/>
          <w:color w:val="081A33"/>
          <w:sz w:val="24"/>
          <w:szCs w:val="24"/>
        </w:rPr>
        <w:t xml:space="preserve">Intellectual Property</w:t>
      </w:r>
    </w:p>
    <w:p>
      <w:pPr>
        <w:spacing w:after="80" w:before="80" w:line="320"/>
      </w:pPr>
      <w:r>
        <w:rPr>
          <w:rFonts w:ascii="Inter" w:cs="Inter" w:eastAsia="Inter" w:hAnsi="Inter"/>
          <w:color w:val="374151"/>
          <w:sz w:val="22"/>
          <w:szCs w:val="22"/>
        </w:rPr>
        <w:t xml:space="preserve">Upon full payment, the Client shall own the final deliverables produced specifically for them, unless otherwise agreed.</w:t>
      </w:r>
    </w:p>
    <w:p>
      <w:pPr>
        <w:spacing w:after="80" w:before="80" w:line="320"/>
      </w:pPr>
      <w:r>
        <w:rPr>
          <w:rFonts w:ascii="Inter" w:cs="Inter" w:eastAsia="Inter" w:hAnsi="Inter"/>
          <w:color w:val="374151"/>
          <w:sz w:val="22"/>
          <w:szCs w:val="22"/>
        </w:rPr>
        <w:t xml:space="preserve">The Service Provider retains ownership of all pre-existing materials, methodologies, frameworks, tools and know-how.</w:t>
      </w:r>
    </w:p>
    <w:p>
      <w:pPr>
        <w:spacing w:after="80" w:before="80" w:line="320"/>
      </w:pPr>
      <w:r>
        <w:rPr>
          <w:rFonts w:ascii="Inter" w:cs="Inter" w:eastAsia="Inter" w:hAnsi="Inter"/>
          <w:color w:val="374151"/>
          <w:sz w:val="22"/>
          <w:szCs w:val="22"/>
        </w:rPr>
        <w:t xml:space="preserve">The Service Provider may reuse anonymised and aggregated insights for internal use or thought leadership.</w:t>
      </w:r>
    </w:p>
    <w:p>
      <w:pPr>
        <w:spacing w:after="80" w:before="260"/>
      </w:pPr>
      <w:r>
        <w:rPr>
          <w:rFonts w:ascii="Consolas" w:cs="Consolas" w:eastAsia="Consolas" w:hAnsi="Consolas"/>
          <w:b/>
          <w:bCs/>
          <w:color w:val="C9A24B"/>
          <w:sz w:val="22"/>
          <w:szCs w:val="22"/>
        </w:rPr>
        <w:t xml:space="preserve">07.  </w:t>
      </w:r>
      <w:r>
        <w:rPr>
          <w:rFonts w:ascii="Inter" w:cs="Inter" w:eastAsia="Inter" w:hAnsi="Inter"/>
          <w:b/>
          <w:bCs/>
          <w:color w:val="081A33"/>
          <w:sz w:val="24"/>
          <w:szCs w:val="24"/>
        </w:rPr>
        <w:t xml:space="preserve">Confidentiality</w:t>
      </w:r>
    </w:p>
    <w:p>
      <w:pPr>
        <w:spacing w:after="80" w:before="80" w:line="320"/>
      </w:pPr>
      <w:r>
        <w:rPr>
          <w:rFonts w:ascii="Inter" w:cs="Inter" w:eastAsia="Inter" w:hAnsi="Inter"/>
          <w:color w:val="374151"/>
          <w:sz w:val="22"/>
          <w:szCs w:val="22"/>
        </w:rPr>
        <w:t xml:space="preserve">Each party will keep confidential any information disclosed by the other party that is marked or reasonably understood to be confidential.</w:t>
      </w:r>
    </w:p>
    <w:p>
      <w:pPr>
        <w:spacing w:after="80" w:before="80" w:line="320"/>
      </w:pPr>
      <w:r>
        <w:rPr>
          <w:rFonts w:ascii="Inter" w:cs="Inter" w:eastAsia="Inter" w:hAnsi="Inter"/>
          <w:color w:val="374151"/>
          <w:sz w:val="22"/>
          <w:szCs w:val="22"/>
        </w:rPr>
        <w:t xml:space="preserve">Confidential information shall not be disclosed to third parties except where required by law.</w:t>
      </w:r>
    </w:p>
    <w:p>
      <w:pPr>
        <w:spacing w:after="80" w:before="260"/>
      </w:pPr>
      <w:r>
        <w:rPr>
          <w:rFonts w:ascii="Consolas" w:cs="Consolas" w:eastAsia="Consolas" w:hAnsi="Consolas"/>
          <w:b/>
          <w:bCs/>
          <w:color w:val="C9A24B"/>
          <w:sz w:val="22"/>
          <w:szCs w:val="22"/>
        </w:rPr>
        <w:t xml:space="preserve">08.  </w:t>
      </w:r>
      <w:r>
        <w:rPr>
          <w:rFonts w:ascii="Inter" w:cs="Inter" w:eastAsia="Inter" w:hAnsi="Inter"/>
          <w:b/>
          <w:bCs/>
          <w:color w:val="081A33"/>
          <w:sz w:val="24"/>
          <w:szCs w:val="24"/>
        </w:rPr>
        <w:t xml:space="preserve">Data Protection</w:t>
      </w:r>
    </w:p>
    <w:p>
      <w:pPr>
        <w:spacing w:after="80" w:before="80" w:line="320"/>
      </w:pPr>
      <w:r>
        <w:rPr>
          <w:rFonts w:ascii="Inter" w:cs="Inter" w:eastAsia="Inter" w:hAnsi="Inter"/>
          <w:color w:val="374151"/>
          <w:sz w:val="22"/>
          <w:szCs w:val="22"/>
        </w:rPr>
        <w:t xml:space="preserve">Each party will comply with applicable data protection and privacy laws.</w:t>
      </w:r>
    </w:p>
    <w:p>
      <w:pPr>
        <w:spacing w:after="80" w:before="80" w:line="320"/>
      </w:pPr>
      <w:r>
        <w:rPr>
          <w:rFonts w:ascii="Inter" w:cs="Inter" w:eastAsia="Inter" w:hAnsi="Inter"/>
          <w:color w:val="374151"/>
          <w:sz w:val="22"/>
          <w:szCs w:val="22"/>
        </w:rPr>
        <w:t xml:space="preserve">Where personal data is processed as part of the Services, the Service Provider shall take reasonable steps to ensure such data is handled securely and ethically.</w:t>
      </w:r>
    </w:p>
    <w:p>
      <w:pPr>
        <w:spacing w:after="80" w:before="260"/>
      </w:pPr>
      <w:r>
        <w:rPr>
          <w:rFonts w:ascii="Consolas" w:cs="Consolas" w:eastAsia="Consolas" w:hAnsi="Consolas"/>
          <w:b/>
          <w:bCs/>
          <w:color w:val="C9A24B"/>
          <w:sz w:val="22"/>
          <w:szCs w:val="22"/>
        </w:rPr>
        <w:t xml:space="preserve">09.  </w:t>
      </w:r>
      <w:r>
        <w:rPr>
          <w:rFonts w:ascii="Inter" w:cs="Inter" w:eastAsia="Inter" w:hAnsi="Inter"/>
          <w:b/>
          <w:bCs/>
          <w:color w:val="081A33"/>
          <w:sz w:val="24"/>
          <w:szCs w:val="24"/>
        </w:rPr>
        <w:t xml:space="preserve">Warranties &amp; Disclaimers</w:t>
      </w:r>
    </w:p>
    <w:p>
      <w:pPr>
        <w:spacing w:after="80" w:before="80" w:line="320"/>
      </w:pPr>
      <w:r>
        <w:rPr>
          <w:rFonts w:ascii="Inter" w:cs="Inter" w:eastAsia="Inter" w:hAnsi="Inter"/>
          <w:color w:val="374151"/>
          <w:sz w:val="22"/>
          <w:szCs w:val="22"/>
        </w:rPr>
        <w:t xml:space="preserve">The Service Provider warrants that the Services will be provided with reasonable skill and care.</w:t>
      </w:r>
    </w:p>
    <w:p>
      <w:pPr>
        <w:spacing w:after="80" w:before="80" w:line="320"/>
      </w:pPr>
      <w:r>
        <w:rPr>
          <w:rFonts w:ascii="Inter" w:cs="Inter" w:eastAsia="Inter" w:hAnsi="Inter"/>
          <w:color w:val="374151"/>
          <w:sz w:val="22"/>
          <w:szCs w:val="22"/>
        </w:rPr>
        <w:t xml:space="preserve">The Services are advisory in nature. The Service Provider does not guarantee specific commercial outcomes; all decisions taken based on the Services remain the responsibility of the Client.</w:t>
      </w:r>
    </w:p>
    <w:p>
      <w:pPr>
        <w:spacing w:after="80" w:before="260"/>
      </w:pPr>
      <w:r>
        <w:rPr>
          <w:rFonts w:ascii="Consolas" w:cs="Consolas" w:eastAsia="Consolas" w:hAnsi="Consolas"/>
          <w:b/>
          <w:bCs/>
          <w:color w:val="C9A24B"/>
          <w:sz w:val="22"/>
          <w:szCs w:val="22"/>
        </w:rPr>
        <w:t xml:space="preserve">10.  </w:t>
      </w:r>
      <w:r>
        <w:rPr>
          <w:rFonts w:ascii="Inter" w:cs="Inter" w:eastAsia="Inter" w:hAnsi="Inter"/>
          <w:b/>
          <w:bCs/>
          <w:color w:val="081A33"/>
          <w:sz w:val="24"/>
          <w:szCs w:val="24"/>
        </w:rPr>
        <w:t xml:space="preserve">Limitation of Liability</w:t>
      </w:r>
    </w:p>
    <w:p>
      <w:pPr>
        <w:spacing w:after="80" w:before="80" w:line="320"/>
      </w:pPr>
      <w:r>
        <w:rPr>
          <w:rFonts w:ascii="Inter" w:cs="Inter" w:eastAsia="Inter" w:hAnsi="Inter"/>
          <w:color w:val="374151"/>
          <w:sz w:val="22"/>
          <w:szCs w:val="22"/>
        </w:rPr>
        <w:t xml:space="preserve">To the maximum extent permitted by law, the Service Provider's total liability arising out of or in connection with the Services shall be limited to the fees paid by the Client for the Services giving rise to the claim.</w:t>
      </w:r>
    </w:p>
    <w:p>
      <w:pPr>
        <w:spacing w:after="80" w:before="80" w:line="320"/>
      </w:pPr>
      <w:r>
        <w:rPr>
          <w:rFonts w:ascii="Inter" w:cs="Inter" w:eastAsia="Inter" w:hAnsi="Inter"/>
          <w:color w:val="374151"/>
          <w:sz w:val="22"/>
          <w:szCs w:val="22"/>
        </w:rPr>
        <w:t xml:space="preserve">The Service Provider shall not be liable for indirect, consequential or economic loss.</w:t>
      </w:r>
    </w:p>
    <w:p>
      <w:pPr>
        <w:spacing w:after="80" w:before="260"/>
      </w:pPr>
      <w:r>
        <w:rPr>
          <w:rFonts w:ascii="Consolas" w:cs="Consolas" w:eastAsia="Consolas" w:hAnsi="Consolas"/>
          <w:b/>
          <w:bCs/>
          <w:color w:val="C9A24B"/>
          <w:sz w:val="22"/>
          <w:szCs w:val="22"/>
        </w:rPr>
        <w:t xml:space="preserve">11.  </w:t>
      </w:r>
      <w:r>
        <w:rPr>
          <w:rFonts w:ascii="Inter" w:cs="Inter" w:eastAsia="Inter" w:hAnsi="Inter"/>
          <w:b/>
          <w:bCs/>
          <w:color w:val="081A33"/>
          <w:sz w:val="24"/>
          <w:szCs w:val="24"/>
        </w:rPr>
        <w:t xml:space="preserve">Termination</w:t>
      </w:r>
    </w:p>
    <w:p>
      <w:pPr>
        <w:spacing w:after="80" w:before="80" w:line="320"/>
      </w:pPr>
      <w:r>
        <w:rPr>
          <w:rFonts w:ascii="Inter" w:cs="Inter" w:eastAsia="Inter" w:hAnsi="Inter"/>
          <w:color w:val="374151"/>
          <w:sz w:val="22"/>
          <w:szCs w:val="22"/>
        </w:rPr>
        <w:t xml:space="preserve">Either party may terminate an Agreement with thirty (30) days' written notice, unless otherwise stated.</w:t>
      </w:r>
    </w:p>
    <w:p>
      <w:pPr>
        <w:spacing w:after="80" w:before="80" w:line="320"/>
      </w:pPr>
      <w:r>
        <w:rPr>
          <w:rFonts w:ascii="Inter" w:cs="Inter" w:eastAsia="Inter" w:hAnsi="Inter"/>
          <w:color w:val="374151"/>
          <w:sz w:val="22"/>
          <w:szCs w:val="22"/>
        </w:rPr>
        <w:t xml:space="preserve">Upon termination the Client shall pay for all Services performed up to the termination date.</w:t>
      </w:r>
    </w:p>
    <w:p>
      <w:pPr>
        <w:spacing w:after="80" w:before="260"/>
      </w:pPr>
      <w:r>
        <w:rPr>
          <w:rFonts w:ascii="Consolas" w:cs="Consolas" w:eastAsia="Consolas" w:hAnsi="Consolas"/>
          <w:b/>
          <w:bCs/>
          <w:color w:val="C9A24B"/>
          <w:sz w:val="22"/>
          <w:szCs w:val="22"/>
        </w:rPr>
        <w:t xml:space="preserve">12.  </w:t>
      </w:r>
      <w:r>
        <w:rPr>
          <w:rFonts w:ascii="Inter" w:cs="Inter" w:eastAsia="Inter" w:hAnsi="Inter"/>
          <w:b/>
          <w:bCs/>
          <w:color w:val="081A33"/>
          <w:sz w:val="24"/>
          <w:szCs w:val="24"/>
        </w:rPr>
        <w:t xml:space="preserve">Force Majeure</w:t>
      </w:r>
    </w:p>
    <w:p>
      <w:pPr>
        <w:spacing w:after="80" w:before="80" w:line="320"/>
      </w:pPr>
      <w:r>
        <w:rPr>
          <w:rFonts w:ascii="Inter" w:cs="Inter" w:eastAsia="Inter" w:hAnsi="Inter"/>
          <w:color w:val="374151"/>
          <w:sz w:val="22"/>
          <w:szCs w:val="22"/>
        </w:rPr>
        <w:t xml:space="preserve">Neither party shall be liable for failure or delay in performance due to events beyond their reasonable control.</w:t>
      </w:r>
    </w:p>
    <w:p>
      <w:pPr>
        <w:spacing w:after="80" w:before="260"/>
      </w:pPr>
      <w:r>
        <w:rPr>
          <w:rFonts w:ascii="Consolas" w:cs="Consolas" w:eastAsia="Consolas" w:hAnsi="Consolas"/>
          <w:b/>
          <w:bCs/>
          <w:color w:val="C9A24B"/>
          <w:sz w:val="22"/>
          <w:szCs w:val="22"/>
        </w:rPr>
        <w:t xml:space="preserve">13.  </w:t>
      </w:r>
      <w:r>
        <w:rPr>
          <w:rFonts w:ascii="Inter" w:cs="Inter" w:eastAsia="Inter" w:hAnsi="Inter"/>
          <w:b/>
          <w:bCs/>
          <w:color w:val="081A33"/>
          <w:sz w:val="24"/>
          <w:szCs w:val="24"/>
        </w:rPr>
        <w:t xml:space="preserve">Non-Solicitation</w:t>
      </w:r>
    </w:p>
    <w:p>
      <w:pPr>
        <w:spacing w:after="80" w:before="80" w:line="320"/>
      </w:pPr>
      <w:r>
        <w:rPr>
          <w:rFonts w:ascii="Inter" w:cs="Inter" w:eastAsia="Inter" w:hAnsi="Inter"/>
          <w:color w:val="374151"/>
          <w:sz w:val="22"/>
          <w:szCs w:val="22"/>
        </w:rPr>
        <w:t xml:space="preserve">During the term of engagement and for twelve (12) months thereafter, the Client shall not solicit or employ any individual engaged by the Service Provider in connection with the Services, without prior written consent.</w:t>
      </w:r>
    </w:p>
    <w:p>
      <w:pPr>
        <w:spacing w:after="80" w:before="260"/>
      </w:pPr>
      <w:r>
        <w:rPr>
          <w:rFonts w:ascii="Consolas" w:cs="Consolas" w:eastAsia="Consolas" w:hAnsi="Consolas"/>
          <w:b/>
          <w:bCs/>
          <w:color w:val="C9A24B"/>
          <w:sz w:val="22"/>
          <w:szCs w:val="22"/>
        </w:rPr>
        <w:t xml:space="preserve">14.  </w:t>
      </w:r>
      <w:r>
        <w:rPr>
          <w:rFonts w:ascii="Inter" w:cs="Inter" w:eastAsia="Inter" w:hAnsi="Inter"/>
          <w:b/>
          <w:bCs/>
          <w:color w:val="081A33"/>
          <w:sz w:val="24"/>
          <w:szCs w:val="24"/>
        </w:rPr>
        <w:t xml:space="preserve">Assignment &amp; Subcontracting</w:t>
      </w:r>
    </w:p>
    <w:p>
      <w:pPr>
        <w:spacing w:after="80" w:before="80" w:line="320"/>
      </w:pPr>
      <w:r>
        <w:rPr>
          <w:rFonts w:ascii="Inter" w:cs="Inter" w:eastAsia="Inter" w:hAnsi="Inter"/>
          <w:color w:val="374151"/>
          <w:sz w:val="22"/>
          <w:szCs w:val="22"/>
        </w:rPr>
        <w:t xml:space="preserve">The Service Provider may subcontract elements of the Services where appropriate.</w:t>
      </w:r>
    </w:p>
    <w:p>
      <w:pPr>
        <w:spacing w:after="80" w:before="80" w:line="320"/>
      </w:pPr>
      <w:r>
        <w:rPr>
          <w:rFonts w:ascii="Inter" w:cs="Inter" w:eastAsia="Inter" w:hAnsi="Inter"/>
          <w:color w:val="374151"/>
          <w:sz w:val="22"/>
          <w:szCs w:val="22"/>
        </w:rPr>
        <w:t xml:space="preserve">The Client may not assign the Agreement without prior written consent.</w:t>
      </w:r>
    </w:p>
    <w:p>
      <w:pPr>
        <w:spacing w:after="80" w:before="260"/>
      </w:pPr>
      <w:r>
        <w:rPr>
          <w:rFonts w:ascii="Consolas" w:cs="Consolas" w:eastAsia="Consolas" w:hAnsi="Consolas"/>
          <w:b/>
          <w:bCs/>
          <w:color w:val="C9A24B"/>
          <w:sz w:val="22"/>
          <w:szCs w:val="22"/>
        </w:rPr>
        <w:t xml:space="preserve">15.  </w:t>
      </w:r>
      <w:r>
        <w:rPr>
          <w:rFonts w:ascii="Inter" w:cs="Inter" w:eastAsia="Inter" w:hAnsi="Inter"/>
          <w:b/>
          <w:bCs/>
          <w:color w:val="081A33"/>
          <w:sz w:val="24"/>
          <w:szCs w:val="24"/>
        </w:rPr>
        <w:t xml:space="preserve">Governing Principles</w:t>
      </w:r>
    </w:p>
    <w:p>
      <w:pPr>
        <w:spacing w:after="80" w:before="80" w:line="320"/>
      </w:pPr>
      <w:r>
        <w:rPr>
          <w:rFonts w:ascii="Inter" w:cs="Inter" w:eastAsia="Inter" w:hAnsi="Inter"/>
          <w:color w:val="374151"/>
          <w:sz w:val="22"/>
          <w:szCs w:val="22"/>
        </w:rPr>
        <w:t xml:space="preserve">These Terms are intended to operate on the basis of good faith, transparency and professional cooperation.</w:t>
      </w:r>
    </w:p>
    <w:p>
      <w:pPr>
        <w:spacing w:after="80" w:before="260"/>
      </w:pPr>
      <w:r>
        <w:rPr>
          <w:rFonts w:ascii="Consolas" w:cs="Consolas" w:eastAsia="Consolas" w:hAnsi="Consolas"/>
          <w:b/>
          <w:bCs/>
          <w:color w:val="C9A24B"/>
          <w:sz w:val="22"/>
          <w:szCs w:val="22"/>
        </w:rPr>
        <w:t xml:space="preserve">16.  </w:t>
      </w:r>
      <w:r>
        <w:rPr>
          <w:rFonts w:ascii="Inter" w:cs="Inter" w:eastAsia="Inter" w:hAnsi="Inter"/>
          <w:b/>
          <w:bCs/>
          <w:color w:val="081A33"/>
          <w:sz w:val="24"/>
          <w:szCs w:val="24"/>
        </w:rPr>
        <w:t xml:space="preserve">Entire Agreement</w:t>
      </w:r>
    </w:p>
    <w:p>
      <w:pPr>
        <w:spacing w:after="80" w:before="80" w:line="320"/>
      </w:pPr>
      <w:r>
        <w:rPr>
          <w:rFonts w:ascii="Inter" w:cs="Inter" w:eastAsia="Inter" w:hAnsi="Inter"/>
          <w:color w:val="374151"/>
          <w:sz w:val="22"/>
          <w:szCs w:val="22"/>
        </w:rPr>
        <w:t xml:space="preserve">These Terms, together with any proposal, engagement schedule or SLA, constitute the entire agreement between the parties and supersede all prior discussions or understandings.</w:t>
      </w:r>
    </w:p>
    <w:p>
      <w:pPr>
        <w:spacing w:after="80" w:before="260"/>
      </w:pPr>
      <w:r>
        <w:rPr>
          <w:rFonts w:ascii="Consolas" w:cs="Consolas" w:eastAsia="Consolas" w:hAnsi="Consolas"/>
          <w:b/>
          <w:bCs/>
          <w:color w:val="C9A24B"/>
          <w:sz w:val="22"/>
          <w:szCs w:val="22"/>
        </w:rPr>
        <w:t xml:space="preserve">17.  </w:t>
      </w:r>
      <w:r>
        <w:rPr>
          <w:rFonts w:ascii="Inter" w:cs="Inter" w:eastAsia="Inter" w:hAnsi="Inter"/>
          <w:b/>
          <w:bCs/>
          <w:color w:val="081A33"/>
          <w:sz w:val="24"/>
          <w:szCs w:val="24"/>
        </w:rPr>
        <w:t xml:space="preserve">Governing Law</w:t>
      </w:r>
    </w:p>
    <w:p>
      <w:pPr>
        <w:spacing w:after="80" w:before="80" w:line="320"/>
      </w:pPr>
      <w:r>
        <w:rPr>
          <w:rFonts w:ascii="Inter" w:cs="Inter" w:eastAsia="Inter" w:hAnsi="Inter"/>
          <w:color w:val="374151"/>
          <w:sz w:val="22"/>
          <w:szCs w:val="22"/>
        </w:rPr>
        <w:t xml:space="preserve">This Agreement shall be governed by and construed in accordance with the laws of England and Wales.</w:t>
      </w:r>
    </w:p>
    <w:p>
      <w:r>
        <w:br w:type="page"/>
      </w:r>
    </w:p>
    <w:p>
      <w:pPr>
        <w:spacing w:after="60" w:before="200"/>
      </w:pPr>
      <w:r>
        <w:rPr>
          <w:rFonts w:ascii="Inter" w:cs="Inter" w:eastAsia="Inter" w:hAnsi="Inter"/>
          <w:b/>
          <w:bCs/>
          <w:color w:val="0F3D63"/>
          <w:spacing w:val="40"/>
          <w:sz w:val="16"/>
          <w:szCs w:val="16"/>
        </w:rPr>
        <w:t xml:space="preserve">SIGNATURE ACKNOWLEDGEMENT</w:t>
      </w:r>
    </w:p>
    <w:p>
      <w:pPr>
        <w:pStyle w:val="Heading2"/>
        <w:spacing w:after="140" w:before="260"/>
      </w:pPr>
      <w:r>
        <w:rPr>
          <w:rFonts w:ascii="Playfair Display" w:cs="Playfair Display" w:eastAsia="Playfair Display" w:hAnsi="Playfair Display"/>
          <w:b w:val="false"/>
          <w:bCs w:val="false"/>
          <w:color w:val="081A33"/>
        </w:rPr>
        <w:t xml:space="preserve">Acceptance of Terms.</w:t>
      </w:r>
    </w:p>
    <w:p>
      <w:pPr>
        <w:spacing w:after="80" w:before="80" w:line="320"/>
      </w:pPr>
      <w:r>
        <w:rPr>
          <w:rFonts w:ascii="Inter" w:cs="Inter" w:eastAsia="Inter" w:hAnsi="Inter"/>
          <w:color w:val="374151"/>
          <w:sz w:val="22"/>
          <w:szCs w:val="22"/>
        </w:rPr>
        <w:t xml:space="preserve">By engaging the services of Oakwell Consulting Ltd, the Client confirms acceptance of these Terms &amp; Conditions.</w:t>
      </w:r>
    </w:p>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ACKNOWLEDGED FOR THE CLIENT</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c>
          <w:tcPr>
            <w:tcW w:type="dxa" w:w="4680"/>
            <w:tcBorders>
              <w:top w:val="single" w:color="FFFFFF" w:sz="4"/>
              <w:left w:val="single" w:color="FFFFFF" w:sz="4"/>
              <w:bottom w:val="single" w:color="FFFFFF" w:sz="4"/>
              <w:right w:val="single" w:color="FFFFFF" w:sz="4"/>
            </w:tcBorders>
            <w:tcMar>
              <w:top w:type="dxa" w:w="80"/>
              <w:left w:type="dxa" w:w="80"/>
              <w:bottom w:type="dxa" w:w="80"/>
              <w:right w:type="dxa" w:w="80"/>
            </w:tcMar>
          </w:tcPr>
          <w:p>
            <w:pPr>
              <w:spacing w:after="240"/>
            </w:pPr>
            <w:r>
              <w:rPr>
                <w:rFonts w:ascii="Inter" w:cs="Inter" w:eastAsia="Inter" w:hAnsi="Inter"/>
                <w:b/>
                <w:bCs/>
                <w:color w:val="0F3D63"/>
                <w:spacing w:val="60"/>
                <w:sz w:val="18"/>
                <w:szCs w:val="18"/>
              </w:rPr>
              <w:t xml:space="preserve">ACKNOWLEDGED FOR OAKWELL CONSULTING LTD</w:t>
            </w:r>
          </w:p>
          <w:p>
            <w:pPr>
              <w:pBdr>
                <w:bottom w:val="single" w:color="94A3B8" w:sz="6" w:space="4"/>
              </w:pBdr>
              <w:spacing w:after="40" w:before="200"/>
            </w:pPr>
            <w:r>
              <w:rPr>
                <w:rFonts w:ascii="Inter" w:cs="Inter" w:eastAsia="Inter" w:hAnsi="Inter"/>
                <w:color w:val="94A3B8"/>
                <w:spacing w:val="60"/>
                <w:sz w:val="14"/>
                <w:szCs w:val="14"/>
              </w:rPr>
              <w:t xml:space="preserve">NAME</w:t>
            </w:r>
          </w:p>
          <w:p>
            <w:pPr>
              <w:pBdr>
                <w:bottom w:val="single" w:color="94A3B8" w:sz="6" w:space="4"/>
              </w:pBdr>
              <w:spacing w:after="40" w:before="200"/>
            </w:pPr>
            <w:r>
              <w:rPr>
                <w:rFonts w:ascii="Inter" w:cs="Inter" w:eastAsia="Inter" w:hAnsi="Inter"/>
                <w:color w:val="94A3B8"/>
                <w:spacing w:val="60"/>
                <w:sz w:val="14"/>
                <w:szCs w:val="14"/>
              </w:rPr>
              <w:t xml:space="preserve">TITLE</w:t>
            </w:r>
          </w:p>
          <w:p>
            <w:pPr>
              <w:pBdr>
                <w:bottom w:val="single" w:color="94A3B8" w:sz="6" w:space="4"/>
              </w:pBdr>
              <w:spacing w:after="40" w:before="200"/>
            </w:pPr>
            <w:r>
              <w:rPr>
                <w:rFonts w:ascii="Inter" w:cs="Inter" w:eastAsia="Inter" w:hAnsi="Inter"/>
                <w:color w:val="94A3B8"/>
                <w:spacing w:val="60"/>
                <w:sz w:val="14"/>
                <w:szCs w:val="14"/>
              </w:rPr>
              <w:t xml:space="preserve">DATE</w:t>
            </w:r>
          </w:p>
          <w:p>
            <w:pPr>
              <w:pBdr>
                <w:bottom w:val="single" w:color="94A3B8" w:sz="6" w:space="4"/>
              </w:pBdr>
              <w:spacing w:after="40" w:before="200"/>
            </w:pPr>
            <w:r>
              <w:rPr>
                <w:rFonts w:ascii="Inter" w:cs="Inter" w:eastAsia="Inter" w:hAnsi="Inter"/>
                <w:color w:val="94A3B8"/>
                <w:spacing w:val="60"/>
                <w:sz w:val="14"/>
                <w:szCs w:val="14"/>
              </w:rPr>
              <w:t xml:space="preserve">SIGNATURE</w:t>
            </w:r>
          </w:p>
        </w:tc>
      </w:tr>
    </w:tbl>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81A33" w:sz="4"/>
              <w:left w:val="single" w:color="081A33" w:sz="4"/>
              <w:bottom w:val="single" w:color="081A33" w:sz="4"/>
              <w:right w:val="single" w:color="081A33" w:sz="4"/>
            </w:tcBorders>
            <w:shd w:fill="081A33" w:val="clear"/>
            <w:tcMar>
              <w:top w:type="dxa" w:w="300"/>
              <w:left w:type="dxa" w:w="400"/>
              <w:bottom w:type="dxa" w:w="300"/>
              <w:right w:type="dxa" w:w="400"/>
            </w:tcMar>
          </w:tcPr>
          <w:p>
            <w:r>
              <w:rPr>
                <w:rFonts w:ascii="Inter" w:cs="Inter" w:eastAsia="Inter" w:hAnsi="Inter"/>
                <w:b/>
                <w:bCs/>
                <w:color w:val="C9A24B"/>
                <w:spacing w:val="80"/>
                <w:sz w:val="18"/>
                <w:szCs w:val="18"/>
              </w:rPr>
              <w:t xml:space="preserve">OAKWELL CONSULTING LTD</w:t>
            </w:r>
          </w:p>
          <w:p>
            <w:pPr>
              <w:spacing w:before="160"/>
            </w:pPr>
            <w:r>
              <w:rPr>
                <w:rFonts w:ascii="Playfair Display" w:cs="Playfair Display" w:eastAsia="Playfair Display" w:hAnsi="Playfair Display"/>
                <w:i/>
                <w:iCs/>
                <w:color w:val="F5F7FA"/>
                <w:sz w:val="28"/>
                <w:szCs w:val="28"/>
              </w:rPr>
              <w:t xml:space="preserve">Intelligence before investment · Registered in England &amp; Wales.</w:t>
            </w:r>
          </w:p>
        </w:tc>
      </w:tr>
    </w:tbl>
    <w:sectPr>
      <w:footerReference w:type="default" r:id="rId12"/>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Inter" w:cs="Inter" w:eastAsia="Inter" w:hAnsi="Inter"/>
        <w:color w:val="94A3B8"/>
        <w:spacing w:val="60"/>
        <w:sz w:val="14"/>
        <w:szCs w:val="14"/>
      </w:rPr>
      <w:t xml:space="preserve">OAKWELL CONSULTING LTD · MASTER DOCUMENT SUITE ·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Inter" w:cs="Inter" w:eastAsia="Inter" w:hAnsi="Inter"/>
        <w:b/>
        <w:bCs/>
        <w:color w:val="94A3B8"/>
        <w:spacing w:val="60"/>
        <w:sz w:val="14"/>
        <w:szCs w:val="14"/>
      </w:rPr>
      <w:t xml:space="preserve">OAKWELL CONSULTING LTD</w:t>
    </w:r>
    <w:r>
      <w:rPr>
        <w:rFonts w:ascii="Inter" w:cs="Inter" w:eastAsia="Inter" w:hAnsi="Inter"/>
        <w:color w:val="94A3B8"/>
        <w:spacing w:val="60"/>
        <w:sz w:val="14"/>
        <w:szCs w:val="14"/>
      </w:rPr>
      <w:t xml:space="preserve">   ·   BUSINESS PLAN</w:t>
    </w:r>
    <w:r>
      <w:rPr>
        <w:rFonts w:ascii="Inter" w:cs="Inter" w:eastAsia="Inter" w:hAnsi="Inter"/>
      </w:rPr>
      <w:t xml:space="preserve">	</w:t>
    </w:r>
    <w:r>
      <w:rPr>
        <w:rFonts w:ascii="Inter" w:cs="Inter" w:eastAsia="Inter" w:hAnsi="Inter"/>
        <w:color w:val="94A3B8"/>
        <w:spacing w:val="40"/>
        <w:sz w:val="14"/>
        <w:szCs w:val="14"/>
      </w:rPr>
      <w:t xml:space="preserve">PAGE </w:t>
    </w:r>
    <w:r>
      <w:rPr>
        <w:rFonts w:ascii="Inter" w:cs="Inter" w:eastAsia="Inter" w:hAnsi="Inter"/>
        <w:b/>
        <w:bCs/>
        <w:color w:val="081A33"/>
        <w:sz w:val="14"/>
        <w:szCs w:val="14"/>
      </w:rPr>
      <w:fldChar w:fldCharType="begin"/>
      <w:instrText xml:space="preserve">PAGE</w:instrText>
      <w:fldChar w:fldCharType="separate"/>
      <w:fldChar w:fldCharType="end"/>
    </w:r>
    <w:r>
      <w:rPr>
        <w:rFonts w:ascii="Inter" w:cs="Inter" w:eastAsia="Inter" w:hAnsi="Inter"/>
        <w:color w:val="94A3B8"/>
        <w:sz w:val="14"/>
        <w:szCs w:val="14"/>
      </w:rPr>
      <w:t xml:space="preserve"> / </w:t>
    </w:r>
    <w:r>
      <w:rPr>
        <w:rFonts w:ascii="Inter" w:cs="Inter" w:eastAsia="Inter" w:hAnsi="Inter"/>
        <w:color w:val="94A3B8"/>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Inter" w:cs="Inter" w:eastAsia="Inter" w:hAnsi="Inter"/>
        <w:b/>
        <w:bCs/>
        <w:color w:val="94A3B8"/>
        <w:spacing w:val="60"/>
        <w:sz w:val="14"/>
        <w:szCs w:val="14"/>
      </w:rPr>
      <w:t xml:space="preserve">OAKWELL CONSULTING LTD</w:t>
    </w:r>
    <w:r>
      <w:rPr>
        <w:rFonts w:ascii="Inter" w:cs="Inter" w:eastAsia="Inter" w:hAnsi="Inter"/>
        <w:color w:val="94A3B8"/>
        <w:spacing w:val="60"/>
        <w:sz w:val="14"/>
        <w:szCs w:val="14"/>
      </w:rPr>
      <w:t xml:space="preserve">   ·   CLIENT PROPOSAL</w:t>
    </w:r>
    <w:r>
      <w:rPr>
        <w:rFonts w:ascii="Inter" w:cs="Inter" w:eastAsia="Inter" w:hAnsi="Inter"/>
      </w:rPr>
      <w:t xml:space="preserve">	</w:t>
    </w:r>
    <w:r>
      <w:rPr>
        <w:rFonts w:ascii="Inter" w:cs="Inter" w:eastAsia="Inter" w:hAnsi="Inter"/>
        <w:color w:val="94A3B8"/>
        <w:spacing w:val="40"/>
        <w:sz w:val="14"/>
        <w:szCs w:val="14"/>
      </w:rPr>
      <w:t xml:space="preserve">PAGE </w:t>
    </w:r>
    <w:r>
      <w:rPr>
        <w:rFonts w:ascii="Inter" w:cs="Inter" w:eastAsia="Inter" w:hAnsi="Inter"/>
        <w:b/>
        <w:bCs/>
        <w:color w:val="081A33"/>
        <w:sz w:val="14"/>
        <w:szCs w:val="14"/>
      </w:rPr>
      <w:fldChar w:fldCharType="begin"/>
      <w:instrText xml:space="preserve">PAGE</w:instrText>
      <w:fldChar w:fldCharType="separate"/>
      <w:fldChar w:fldCharType="end"/>
    </w:r>
    <w:r>
      <w:rPr>
        <w:rFonts w:ascii="Inter" w:cs="Inter" w:eastAsia="Inter" w:hAnsi="Inter"/>
        <w:color w:val="94A3B8"/>
        <w:sz w:val="14"/>
        <w:szCs w:val="14"/>
      </w:rPr>
      <w:t xml:space="preserve"> / </w:t>
    </w:r>
    <w:r>
      <w:rPr>
        <w:rFonts w:ascii="Inter" w:cs="Inter" w:eastAsia="Inter" w:hAnsi="Inter"/>
        <w:color w:val="94A3B8"/>
        <w:sz w:val="14"/>
        <w:szCs w:val="14"/>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Inter" w:cs="Inter" w:eastAsia="Inter" w:hAnsi="Inter"/>
        <w:b/>
        <w:bCs/>
        <w:color w:val="94A3B8"/>
        <w:spacing w:val="60"/>
        <w:sz w:val="14"/>
        <w:szCs w:val="14"/>
      </w:rPr>
      <w:t xml:space="preserve">OAKWELL CONSULTING LTD</w:t>
    </w:r>
    <w:r>
      <w:rPr>
        <w:rFonts w:ascii="Inter" w:cs="Inter" w:eastAsia="Inter" w:hAnsi="Inter"/>
        <w:color w:val="94A3B8"/>
        <w:spacing w:val="60"/>
        <w:sz w:val="14"/>
        <w:szCs w:val="14"/>
      </w:rPr>
      <w:t xml:space="preserve">   ·   SERVICES &amp; PRICING</w:t>
    </w:r>
    <w:r>
      <w:rPr>
        <w:rFonts w:ascii="Inter" w:cs="Inter" w:eastAsia="Inter" w:hAnsi="Inter"/>
      </w:rPr>
      <w:t xml:space="preserve">	</w:t>
    </w:r>
    <w:r>
      <w:rPr>
        <w:rFonts w:ascii="Inter" w:cs="Inter" w:eastAsia="Inter" w:hAnsi="Inter"/>
        <w:color w:val="94A3B8"/>
        <w:spacing w:val="40"/>
        <w:sz w:val="14"/>
        <w:szCs w:val="14"/>
      </w:rPr>
      <w:t xml:space="preserve">PAGE </w:t>
    </w:r>
    <w:r>
      <w:rPr>
        <w:rFonts w:ascii="Inter" w:cs="Inter" w:eastAsia="Inter" w:hAnsi="Inter"/>
        <w:b/>
        <w:bCs/>
        <w:color w:val="081A33"/>
        <w:sz w:val="14"/>
        <w:szCs w:val="14"/>
      </w:rPr>
      <w:fldChar w:fldCharType="begin"/>
      <w:instrText xml:space="preserve">PAGE</w:instrText>
      <w:fldChar w:fldCharType="separate"/>
      <w:fldChar w:fldCharType="end"/>
    </w:r>
    <w:r>
      <w:rPr>
        <w:rFonts w:ascii="Inter" w:cs="Inter" w:eastAsia="Inter" w:hAnsi="Inter"/>
        <w:color w:val="94A3B8"/>
        <w:sz w:val="14"/>
        <w:szCs w:val="14"/>
      </w:rPr>
      <w:t xml:space="preserve"> / </w:t>
    </w:r>
    <w:r>
      <w:rPr>
        <w:rFonts w:ascii="Inter" w:cs="Inter" w:eastAsia="Inter" w:hAnsi="Inter"/>
        <w:color w:val="94A3B8"/>
        <w:sz w:val="14"/>
        <w:szCs w:val="14"/>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Inter" w:cs="Inter" w:eastAsia="Inter" w:hAnsi="Inter"/>
        <w:b/>
        <w:bCs/>
        <w:color w:val="94A3B8"/>
        <w:spacing w:val="60"/>
        <w:sz w:val="14"/>
        <w:szCs w:val="14"/>
      </w:rPr>
      <w:t xml:space="preserve">OAKWELL CONSULTING LTD</w:t>
    </w:r>
    <w:r>
      <w:rPr>
        <w:rFonts w:ascii="Inter" w:cs="Inter" w:eastAsia="Inter" w:hAnsi="Inter"/>
        <w:color w:val="94A3B8"/>
        <w:spacing w:val="60"/>
        <w:sz w:val="14"/>
        <w:szCs w:val="14"/>
      </w:rPr>
      <w:t xml:space="preserve">   ·   SERVICE LEVEL AGREEMENT</w:t>
    </w:r>
    <w:r>
      <w:rPr>
        <w:rFonts w:ascii="Inter" w:cs="Inter" w:eastAsia="Inter" w:hAnsi="Inter"/>
      </w:rPr>
      <w:t xml:space="preserve">	</w:t>
    </w:r>
    <w:r>
      <w:rPr>
        <w:rFonts w:ascii="Inter" w:cs="Inter" w:eastAsia="Inter" w:hAnsi="Inter"/>
        <w:color w:val="94A3B8"/>
        <w:spacing w:val="40"/>
        <w:sz w:val="14"/>
        <w:szCs w:val="14"/>
      </w:rPr>
      <w:t xml:space="preserve">PAGE </w:t>
    </w:r>
    <w:r>
      <w:rPr>
        <w:rFonts w:ascii="Inter" w:cs="Inter" w:eastAsia="Inter" w:hAnsi="Inter"/>
        <w:b/>
        <w:bCs/>
        <w:color w:val="081A33"/>
        <w:sz w:val="14"/>
        <w:szCs w:val="14"/>
      </w:rPr>
      <w:fldChar w:fldCharType="begin"/>
      <w:instrText xml:space="preserve">PAGE</w:instrText>
      <w:fldChar w:fldCharType="separate"/>
      <w:fldChar w:fldCharType="end"/>
    </w:r>
    <w:r>
      <w:rPr>
        <w:rFonts w:ascii="Inter" w:cs="Inter" w:eastAsia="Inter" w:hAnsi="Inter"/>
        <w:color w:val="94A3B8"/>
        <w:sz w:val="14"/>
        <w:szCs w:val="14"/>
      </w:rPr>
      <w:t xml:space="preserve"> / </w:t>
    </w:r>
    <w:r>
      <w:rPr>
        <w:rFonts w:ascii="Inter" w:cs="Inter" w:eastAsia="Inter" w:hAnsi="Inter"/>
        <w:color w:val="94A3B8"/>
        <w:sz w:val="14"/>
        <w:szCs w:val="14"/>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Inter" w:cs="Inter" w:eastAsia="Inter" w:hAnsi="Inter"/>
        <w:b/>
        <w:bCs/>
        <w:color w:val="94A3B8"/>
        <w:spacing w:val="60"/>
        <w:sz w:val="14"/>
        <w:szCs w:val="14"/>
      </w:rPr>
      <w:t xml:space="preserve">OAKWELL CONSULTING LTD</w:t>
    </w:r>
    <w:r>
      <w:rPr>
        <w:rFonts w:ascii="Inter" w:cs="Inter" w:eastAsia="Inter" w:hAnsi="Inter"/>
        <w:color w:val="94A3B8"/>
        <w:spacing w:val="60"/>
        <w:sz w:val="14"/>
        <w:szCs w:val="14"/>
      </w:rPr>
      <w:t xml:space="preserve">   ·   TERMS &amp; CONDITIONS</w:t>
    </w:r>
    <w:r>
      <w:rPr>
        <w:rFonts w:ascii="Inter" w:cs="Inter" w:eastAsia="Inter" w:hAnsi="Inter"/>
      </w:rPr>
      <w:t xml:space="preserve">	</w:t>
    </w:r>
    <w:r>
      <w:rPr>
        <w:rFonts w:ascii="Inter" w:cs="Inter" w:eastAsia="Inter" w:hAnsi="Inter"/>
        <w:color w:val="94A3B8"/>
        <w:spacing w:val="40"/>
        <w:sz w:val="14"/>
        <w:szCs w:val="14"/>
      </w:rPr>
      <w:t xml:space="preserve">PAGE </w:t>
    </w:r>
    <w:r>
      <w:rPr>
        <w:rFonts w:ascii="Inter" w:cs="Inter" w:eastAsia="Inter" w:hAnsi="Inter"/>
        <w:b/>
        <w:bCs/>
        <w:color w:val="081A33"/>
        <w:sz w:val="14"/>
        <w:szCs w:val="14"/>
      </w:rPr>
      <w:fldChar w:fldCharType="begin"/>
      <w:instrText xml:space="preserve">PAGE</w:instrText>
      <w:fldChar w:fldCharType="separate"/>
      <w:fldChar w:fldCharType="end"/>
    </w:r>
    <w:r>
      <w:rPr>
        <w:rFonts w:ascii="Inter" w:cs="Inter" w:eastAsia="Inter" w:hAnsi="Inter"/>
        <w:color w:val="94A3B8"/>
        <w:sz w:val="14"/>
        <w:szCs w:val="14"/>
      </w:rPr>
      <w:t xml:space="preserve"> / </w:t>
    </w:r>
    <w:r>
      <w:rPr>
        <w:rFonts w:ascii="Inter" w:cs="Inter" w:eastAsia="Inter" w:hAnsi="Inter"/>
        <w:color w:val="94A3B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20"/>
      </w:pPr>
      <w:rPr>
        <w:rFonts w:ascii="Inter" w:cs="Inter" w:eastAsia="Inter" w:hAnsi="Inter"/>
        <w:color w:val="C9A24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Playfair Display" w:cs="Playfair Display" w:eastAsia="Playfair Display" w:hAnsi="Playfair Display"/>
      <w:color w:val="081A33"/>
      <w:sz w:val="64"/>
      <w:szCs w:val="64"/>
    </w:rPr>
  </w:style>
  <w:style w:type="paragraph" w:styleId="Heading2">
    <w:name w:val="Heading 2"/>
    <w:basedOn w:val="Normal"/>
    <w:next w:val="Normal"/>
    <w:qFormat/>
    <w:pPr>
      <w:spacing w:after="160" w:before="300"/>
      <w:outlineLvl w:val="1"/>
    </w:pPr>
    <w:rPr>
      <w:rFonts w:ascii="Playfair Display" w:cs="Playfair Display" w:eastAsia="Playfair Display" w:hAnsi="Playfair Display"/>
      <w:color w:val="081A33"/>
      <w:sz w:val="44"/>
      <w:szCs w:val="44"/>
    </w:rPr>
  </w:style>
  <w:style w:type="paragraph" w:styleId="Heading3">
    <w:name w:val="Heading 3"/>
    <w:basedOn w:val="Normal"/>
    <w:next w:val="Normal"/>
    <w:qFormat/>
    <w:pPr>
      <w:spacing w:after="120" w:before="220"/>
      <w:outlineLvl w:val="2"/>
    </w:pPr>
    <w:rPr>
      <w:rFonts w:ascii="Inter" w:cs="Inter" w:eastAsia="Inter" w:hAnsi="Inter"/>
      <w:b/>
      <w:bCs/>
      <w:color w:val="081A33"/>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2026-07-23T10:58:43.374Z</dcterms:created>
  <dcterms:modified xsi:type="dcterms:W3CDTF">2026-07-23T10:58:43.375Z</dcterms:modified>
</cp:coreProperties>
</file>

<file path=docProps/custom.xml><?xml version="1.0" encoding="utf-8"?>
<Properties xmlns="http://schemas.openxmlformats.org/officeDocument/2006/custom-properties" xmlns:vt="http://schemas.openxmlformats.org/officeDocument/2006/docPropsVTypes"/>
</file>